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ind w:left="0" w:right="0" w:firstLine="0"/>
        <w:jc w:val="center"/>
        <w:spacing w:after="0" w:before="0"/>
        <w:rPr>
          <w:rFonts w:ascii="Times New Roman" w:hAnsi="Times New Roman" w:cs="Times New Roman" w:eastAsia="Times New Roman"/>
          <w:b/>
          <w:sz w:val="32"/>
          <w:szCs w:val="28"/>
        </w:rPr>
      </w:pPr>
      <w:r>
        <w:rPr>
          <w:rFonts w:ascii="Times New Roman" w:hAnsi="Times New Roman" w:cs="Times New Roman" w:eastAsia="Times New Roman"/>
          <w:b/>
          <w:sz w:val="32"/>
          <w:szCs w:val="28"/>
        </w:rPr>
        <w:t xml:space="preserve">Proof-of-Union — </w:t>
      </w:r>
      <w:r>
        <w:rPr>
          <w:rFonts w:ascii="Times New Roman" w:hAnsi="Times New Roman" w:cs="Times New Roman" w:eastAsia="Times New Roman"/>
          <w:b/>
          <w:sz w:val="32"/>
          <w:szCs w:val="28"/>
        </w:rPr>
        <w:t xml:space="preserve">алгоритм консенсуса </w:t>
      </w:r>
      <w:r>
        <w:rPr>
          <w:rFonts w:ascii="Times New Roman" w:hAnsi="Times New Roman" w:cs="Times New Roman" w:eastAsia="Times New Roman"/>
          <w:b/>
          <w:sz w:val="32"/>
          <w:szCs w:val="28"/>
        </w:rPr>
        <w:t xml:space="preserve">в </w:t>
      </w:r>
      <w:r>
        <w:rPr>
          <w:rFonts w:ascii="Times New Roman" w:hAnsi="Times New Roman" w:cs="Times New Roman" w:eastAsia="Times New Roman"/>
          <w:b/>
          <w:sz w:val="32"/>
          <w:szCs w:val="28"/>
        </w:rPr>
      </w:r>
      <w:r/>
    </w:p>
    <w:p>
      <w:pPr>
        <w:ind w:left="0" w:right="0" w:firstLine="0"/>
        <w:jc w:val="center"/>
        <w:spacing w:after="0" w:before="0"/>
        <w:rPr>
          <w:rFonts w:ascii="Times New Roman" w:hAnsi="Times New Roman" w:cs="Times New Roman" w:eastAsia="Times New Roman"/>
          <w:b/>
          <w:sz w:val="32"/>
          <w:szCs w:val="28"/>
        </w:rPr>
      </w:pPr>
      <w:r>
        <w:rPr>
          <w:rFonts w:ascii="Times New Roman" w:hAnsi="Times New Roman" w:cs="Times New Roman" w:eastAsia="Times New Roman"/>
          <w:b/>
          <w:sz w:val="32"/>
          <w:szCs w:val="28"/>
        </w:rPr>
        <w:t xml:space="preserve">блокчейн </w:t>
      </w:r>
      <w:r>
        <w:rPr>
          <w:rFonts w:ascii="Times New Roman" w:hAnsi="Times New Roman" w:cs="Times New Roman" w:eastAsia="Times New Roman"/>
          <w:b/>
          <w:sz w:val="32"/>
          <w:szCs w:val="28"/>
        </w:rPr>
        <w:t xml:space="preserve">системах </w:t>
      </w:r>
      <w:r>
        <w:rPr>
          <w:rFonts w:ascii="Times New Roman" w:hAnsi="Times New Roman" w:cs="Times New Roman" w:eastAsia="Times New Roman"/>
          <w:b/>
          <w:sz w:val="32"/>
          <w:szCs w:val="28"/>
        </w:rPr>
        <w:t xml:space="preserve">базируемый на сотрудничестве узлов</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rPr>
          <w:rFonts w:ascii="Times New Roman" w:hAnsi="Times New Roman" w:cs="Times New Roman" w:eastAsia="Times New Roman"/>
          <w:b/>
          <w:sz w:val="28"/>
          <w:szCs w:val="24"/>
        </w:rPr>
      </w:r>
      <w:bookmarkStart w:id="27" w:name="Введение"/>
      <w:r>
        <w:rPr>
          <w:rFonts w:ascii="Times New Roman" w:hAnsi="Times New Roman" w:cs="Times New Roman" w:eastAsia="Times New Roman"/>
          <w:b/>
          <w:sz w:val="28"/>
          <w:szCs w:val="24"/>
        </w:rPr>
      </w:r>
      <w:bookmarkEnd w:id="27"/>
      <w:r>
        <w:rPr>
          <w:rFonts w:ascii="Times New Roman" w:hAnsi="Times New Roman" w:cs="Times New Roman" w:eastAsia="Times New Roman"/>
          <w:b/>
          <w:sz w:val="28"/>
          <w:szCs w:val="24"/>
        </w:rPr>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В настоящее время существует огромное количество консенсус алгоритмов для блокчейн систем, каждый из которых имеет свои преимущества и недостатки присущие только ему, либо целому классу сходных алгоритмов.</w:t>
      </w:r>
      <w:r>
        <w:rPr>
          <w:rFonts w:ascii="Times New Roman" w:hAnsi="Times New Roman" w:cs="Times New Roman" w:eastAsia="Times New Roman"/>
          <w:sz w:val="24"/>
          <w:szCs w:val="24"/>
          <w:highlight w:val="none"/>
        </w:rPr>
        <w:t xml:space="preserve"> Так или иначе, в настоящее время лидирует две концепции консенсуса - основанные на майнинге (PoW) [1] и форжинге (PoS) [2], которые в свою очередь представляют конкурентную и последовательную модели генерации блоков непосредственно. Такое разделение либо </w:t>
      </w:r>
      <w:r>
        <w:rPr>
          <w:rFonts w:ascii="Times New Roman" w:hAnsi="Times New Roman" w:cs="Times New Roman" w:eastAsia="Times New Roman"/>
          <w:sz w:val="24"/>
          <w:szCs w:val="24"/>
          <w:highlight w:val="none"/>
        </w:rPr>
        <w:t xml:space="preserve">предполагает </w:t>
      </w:r>
      <w:r>
        <w:rPr>
          <w:rFonts w:ascii="Times New Roman" w:hAnsi="Times New Roman" w:cs="Times New Roman" w:eastAsia="Times New Roman"/>
          <w:sz w:val="24"/>
          <w:szCs w:val="24"/>
          <w:highlight w:val="none"/>
        </w:rPr>
        <w:t xml:space="preserve">крайне большое расходование материальных ресурсов, либо представляет собой необходимость комбинации с другими методами консенсуса [3], что приводит к </w:t>
      </w:r>
      <w:r>
        <w:rPr>
          <w:rFonts w:ascii="Times New Roman" w:hAnsi="Times New Roman" w:cs="Times New Roman" w:eastAsia="Times New Roman"/>
          <w:sz w:val="24"/>
          <w:szCs w:val="24"/>
          <w:highlight w:val="none"/>
        </w:rPr>
        <w:t xml:space="preserve">сложности реализации, а следовательно и к проблеме</w:t>
      </w:r>
      <w:r>
        <w:rPr>
          <w:rFonts w:ascii="Times New Roman" w:hAnsi="Times New Roman" w:cs="Times New Roman" w:eastAsia="Times New Roman"/>
          <w:sz w:val="24"/>
          <w:szCs w:val="24"/>
          <w:highlight w:val="none"/>
        </w:rPr>
        <w:t xml:space="preserve"> доказуемой безопасности конечного решения [4, с.319]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Альтернативной моделью конкуренции и последовательности может являться алгоритм объединения узлов (PoU), решающий общую задачу сообща и главным преимуществом которого является простота реализации, сродни PoW и быстрота генерации блоков, эквивалентная PoS.</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2. Становление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Зарождение PoU представляет собой вполне закономерное развитие консенсус алгоритмов, представленных в качестве синтеза уже ранее созданных и применяемых методов. </w:t>
      </w:r>
      <w:r>
        <w:rPr>
          <w:rFonts w:ascii="Times New Roman" w:hAnsi="Times New Roman" w:cs="Times New Roman" w:eastAsia="Times New Roman"/>
          <w:sz w:val="24"/>
          <w:szCs w:val="24"/>
          <w:highlight w:val="none"/>
        </w:rPr>
        <w:t xml:space="preserve">Обобщая, можно представить эволюцию блокчейн систем в следующих этапах становления.</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Конкуренция. Представляет собой генезис блокчейн систем, тезис и начало развития непосредственно. В такой модели каждый узел выполняет однотипные и сложно-математические операции полностью децентра</w:t>
      </w:r>
      <w:r>
        <w:rPr>
          <w:rFonts w:ascii="Times New Roman" w:hAnsi="Times New Roman" w:cs="Times New Roman" w:eastAsia="Times New Roman"/>
          <w:sz w:val="24"/>
          <w:szCs w:val="24"/>
          <w:highlight w:val="none"/>
        </w:rPr>
        <w:t xml:space="preserve">лизовано, несвязанно между собой, что порождает выполнение одинаковых действий многократно, в большей степени без всякой полезной нагрузки. Отрицательным качеством безусловно является необходимость поддерживать конкуренцию, быть соперником относительно вс</w:t>
      </w:r>
      <w:r>
        <w:rPr>
          <w:rFonts w:ascii="Times New Roman" w:hAnsi="Times New Roman" w:cs="Times New Roman" w:eastAsia="Times New Roman"/>
          <w:sz w:val="24"/>
          <w:szCs w:val="24"/>
          <w:highlight w:val="none"/>
        </w:rPr>
        <w:t xml:space="preserve">ей другой сети, удерживать свои мощности, что в конечном счёте приводит, во-первых, к необходимости постоянного потребления майнинг-аппаратуры (процессоры, видеокарты, интегральные схемы и т.д.)</w:t>
      </w:r>
      <w:r>
        <w:rPr>
          <w:rFonts w:ascii="Times New Roman" w:hAnsi="Times New Roman" w:cs="Times New Roman" w:eastAsia="Times New Roman"/>
          <w:sz w:val="24"/>
          <w:szCs w:val="24"/>
          <w:highlight w:val="none"/>
        </w:rPr>
        <w:t xml:space="preserve">, во-вторых, к логичному завышению цен на подобную аппаратуру, </w:t>
      </w:r>
      <w:r>
        <w:rPr>
          <w:rFonts w:ascii="Times New Roman" w:hAnsi="Times New Roman" w:cs="Times New Roman" w:eastAsia="Times New Roman"/>
          <w:sz w:val="24"/>
          <w:szCs w:val="24"/>
          <w:highlight w:val="none"/>
        </w:rPr>
        <w:t xml:space="preserve">методом</w:t>
      </w:r>
      <w:r>
        <w:rPr>
          <w:rFonts w:ascii="Times New Roman" w:hAnsi="Times New Roman" w:cs="Times New Roman" w:eastAsia="Times New Roman"/>
          <w:sz w:val="24"/>
          <w:szCs w:val="24"/>
          <w:highlight w:val="none"/>
        </w:rPr>
        <w:t xml:space="preserve"> искусственного дефицита средств производящими монополия</w:t>
      </w:r>
      <w:r>
        <w:rPr>
          <w:rFonts w:ascii="Times New Roman" w:hAnsi="Times New Roman" w:cs="Times New Roman" w:eastAsia="Times New Roman"/>
          <w:sz w:val="24"/>
          <w:szCs w:val="24"/>
          <w:highlight w:val="none"/>
        </w:rPr>
        <w:t xml:space="preserve">ми относительно большего спроса [5]</w:t>
      </w:r>
      <w:r>
        <w:rPr>
          <w:rFonts w:ascii="Times New Roman" w:hAnsi="Times New Roman" w:cs="Times New Roman" w:eastAsia="Times New Roman"/>
          <w:sz w:val="24"/>
          <w:szCs w:val="24"/>
          <w:highlight w:val="none"/>
        </w:rPr>
        <w:t xml:space="preserve">, в-третьих, к неостановимому поглощению электроэнергии и скорейшему разрушению потреблённой аппаратуры</w:t>
      </w:r>
      <w:r>
        <w:rPr>
          <w:rFonts w:ascii="Times New Roman" w:hAnsi="Times New Roman" w:cs="Times New Roman" w:eastAsia="Times New Roman"/>
          <w:sz w:val="24"/>
          <w:szCs w:val="24"/>
          <w:highlight w:val="none"/>
        </w:rPr>
        <w:t xml:space="preserve"> [6]</w:t>
      </w:r>
      <w:r>
        <w:rPr>
          <w:rFonts w:ascii="Times New Roman" w:hAnsi="Times New Roman" w:cs="Times New Roman" w:eastAsia="Times New Roman"/>
          <w:sz w:val="24"/>
          <w:szCs w:val="24"/>
          <w:highlight w:val="none"/>
        </w:rPr>
        <w:t xml:space="preserve">. Положительным качеством же является простота описания алгоритма и независимость от сети, что и приводит к доступности анализа конечной безопасности. </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 Последовательность. Развивается как отрицание, антитезис конкуренции, избавляясь от самых негативных её черт. В такой модели узлы выполняют валидацию блоков поочерёдно, один за другим по общему алгоритму выбора валидатора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реализации последовательной концепции начинается на уровне сетевого консенсуса, когда строится сильная необходимость и даже зависимость валидации текущего и главного proposer валидатора всеми другими узлами сети, что приводи</w:t>
      </w:r>
      <w:r>
        <w:rPr>
          <w:rFonts w:ascii="Times New Roman" w:hAnsi="Times New Roman" w:cs="Times New Roman" w:eastAsia="Times New Roman"/>
          <w:sz w:val="24"/>
          <w:szCs w:val="24"/>
          <w:highlight w:val="none"/>
        </w:rPr>
        <w:t xml:space="preserve">т к возможности существования постоянных разветвлений посредством проблем «ничего на кону» и «двойной траты». Для такого случая существуют дополняющие алгоритмы, способные обеспечить сетевой консенсус между узлами, подобно ядру Tendermin</w:t>
      </w:r>
      <w:r>
        <w:rPr>
          <w:rFonts w:ascii="Times New Roman" w:hAnsi="Times New Roman" w:cs="Times New Roman" w:eastAsia="Times New Roman"/>
          <w:sz w:val="24"/>
          <w:szCs w:val="24"/>
          <w:highlight w:val="none"/>
        </w:rPr>
        <w:t xml:space="preserve">t</w:t>
      </w:r>
      <w:r>
        <w:rPr>
          <w:rFonts w:ascii="Times New Roman" w:hAnsi="Times New Roman" w:cs="Times New Roman" w:eastAsia="Times New Roman"/>
          <w:sz w:val="24"/>
          <w:szCs w:val="24"/>
          <w:highlight w:val="none"/>
        </w:rPr>
        <w:t xml:space="preserve">, базируемом на задаче византийских генералов</w:t>
      </w:r>
      <w:r>
        <w:rPr>
          <w:rFonts w:ascii="Times New Roman" w:hAnsi="Times New Roman" w:cs="Times New Roman" w:eastAsia="Times New Roman"/>
          <w:sz w:val="24"/>
          <w:szCs w:val="24"/>
          <w:highlight w:val="none"/>
        </w:rPr>
        <w:t xml:space="preserve"> [7]</w:t>
      </w:r>
      <w:r>
        <w:rPr>
          <w:rFonts w:ascii="Times New Roman" w:hAnsi="Times New Roman" w:cs="Times New Roman" w:eastAsia="Times New Roman"/>
          <w:sz w:val="24"/>
          <w:szCs w:val="24"/>
          <w:highlight w:val="none"/>
        </w:rPr>
        <w:t xml:space="preserve">. Безу</w:t>
      </w:r>
      <w:r>
        <w:rPr>
          <w:rFonts w:ascii="Times New Roman" w:hAnsi="Times New Roman" w:cs="Times New Roman" w:eastAsia="Times New Roman"/>
          <w:sz w:val="24"/>
          <w:szCs w:val="24"/>
          <w:highlight w:val="none"/>
        </w:rPr>
        <w:t xml:space="preserve">словным положительным качеством такой модели является отсутствие в необходимости конкурировать, что приводит к достаточно простой аппаратной составляющей, не приводящей к трате большого количества электроэнергии и быстрому устареванию используемой техники.</w:t>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 Объединение. Развивается как синтез конкуренции и последовательности, вбирая в себя простоту, монолитность и скорость, энергоэффективность. В такой модели не существует более валидаторов как отдельны</w:t>
      </w:r>
      <w:r>
        <w:rPr>
          <w:rFonts w:ascii="Times New Roman" w:hAnsi="Times New Roman" w:cs="Times New Roman" w:eastAsia="Times New Roman"/>
          <w:sz w:val="24"/>
          <w:szCs w:val="24"/>
          <w:highlight w:val="none"/>
        </w:rPr>
        <w:t xml:space="preserve">х и индивидуальных участников сети, теперь более блок не подписывается кем-то конкретным и определённым. Единственным и монопольным валидатором в конечном счёте становится сама сеть валидаторов, потому и не имеет значения кто станет proposer’ом блока, что </w:t>
      </w:r>
      <w:r>
        <w:rPr>
          <w:rFonts w:ascii="Times New Roman" w:hAnsi="Times New Roman" w:cs="Times New Roman" w:eastAsia="Times New Roman"/>
          <w:sz w:val="24"/>
          <w:szCs w:val="24"/>
          <w:highlight w:val="none"/>
        </w:rPr>
        <w:t xml:space="preserve">приводит к финальному отрицанию последовательности как таковой</w:t>
      </w:r>
      <w:r>
        <w:rPr>
          <w:rFonts w:ascii="Times New Roman" w:hAnsi="Times New Roman" w:cs="Times New Roman" w:eastAsia="Times New Roman"/>
          <w:sz w:val="24"/>
          <w:szCs w:val="24"/>
          <w:highlight w:val="none"/>
        </w:rPr>
        <w:t xml:space="preserve">. Также вторым отличие</w:t>
      </w:r>
      <w:r>
        <w:rPr>
          <w:rFonts w:ascii="Times New Roman" w:hAnsi="Times New Roman" w:cs="Times New Roman" w:eastAsia="Times New Roman"/>
          <w:sz w:val="24"/>
          <w:szCs w:val="24"/>
          <w:highlight w:val="none"/>
        </w:rPr>
        <w:t xml:space="preserve">м от двух пре</w:t>
      </w:r>
      <w:r>
        <w:rPr>
          <w:rFonts w:ascii="Times New Roman" w:hAnsi="Times New Roman" w:cs="Times New Roman" w:eastAsia="Times New Roman"/>
          <w:sz w:val="24"/>
          <w:szCs w:val="24"/>
          <w:highlight w:val="none"/>
        </w:rPr>
        <w:t xml:space="preserve">дыдущих классов консенсусов является концепция слияния разных взглядов и видений на генерацию блока, вместо выбора единственно верного из предложенного множества, что приводит к однозначному и наиболее лёгкому поиску решения методом объединения информации.</w:t>
      </w:r>
      <w:r>
        <w:rPr>
          <w:rFonts w:ascii="Times New Roman" w:hAnsi="Times New Roman" w:cs="Times New Roman" w:eastAsia="Times New Roman"/>
          <w:sz w:val="24"/>
          <w:szCs w:val="24"/>
          <w:highlight w:val="none"/>
        </w:rPr>
      </w:r>
      <w:r/>
    </w:p>
    <w:p>
      <w:pPr>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3. Определение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t xml:space="preserve">Главным отличием Po</w:t>
      </w:r>
      <w:r>
        <w:rPr>
          <w:rFonts w:ascii="Times New Roman" w:hAnsi="Times New Roman" w:cs="Times New Roman" w:eastAsia="Times New Roman"/>
          <w:sz w:val="24"/>
          <w:szCs w:val="24"/>
          <w:highlight w:val="none"/>
        </w:rPr>
        <w:t xml:space="preserve">U консенс</w:t>
      </w:r>
      <w:r>
        <w:rPr>
          <w:rFonts w:ascii="Times New Roman" w:hAnsi="Times New Roman" w:cs="Times New Roman" w:eastAsia="Times New Roman"/>
          <w:sz w:val="24"/>
          <w:szCs w:val="24"/>
          <w:highlight w:val="none"/>
        </w:rPr>
        <w:t xml:space="preserve">уса является зацикленность системы на сохранение транзакций больше, чем самой связи между блоками, что является противоречивым явлением для блокчейн структур в целом. Суть заключается в том, что существует у таких алгоритмов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блоков, п</w:t>
      </w:r>
      <w:r>
        <w:rPr>
          <w:rFonts w:ascii="Times New Roman" w:hAnsi="Times New Roman" w:cs="Times New Roman" w:eastAsia="Times New Roman"/>
          <w:sz w:val="24"/>
          <w:szCs w:val="24"/>
          <w:highlight w:val="none"/>
        </w:rPr>
        <w:t xml:space="preserve">одобно транзакциям, находящимся в статусе ожидания, pending’e, и в это же время существуют блоки, генерируемые после них, наперёд. Таким образом, можно сказать, что помимо транзакций, существуют также блоки, находящиеся в своеобразном mempool пространстве.</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Будучи блоками неподтверждёнными, они не согласованы с сетью полностью. В таком пер</w:t>
      </w:r>
      <w:r>
        <w:rPr>
          <w:rFonts w:ascii="Times New Roman" w:hAnsi="Times New Roman" w:cs="Times New Roman" w:eastAsia="Times New Roman"/>
          <w:sz w:val="24"/>
          <w:szCs w:val="24"/>
          <w:highlight w:val="none"/>
        </w:rPr>
        <w:t xml:space="preserve">иод</w:t>
      </w:r>
      <w:r>
        <w:rPr>
          <w:rFonts w:ascii="Times New Roman" w:hAnsi="Times New Roman" w:cs="Times New Roman" w:eastAsia="Times New Roman"/>
          <w:sz w:val="24"/>
          <w:szCs w:val="24"/>
          <w:highlight w:val="none"/>
        </w:rPr>
        <w:t xml:space="preserve">е они перезаписываются и видоизменяются, находясь в этапе полиморфизма своих внутренностей. Блоки же подтверждённые располагаются ранее всех неподтверждённых, они устоявшиеся и представляют уже статичность внутренностей, неизменность заложенных транзакций.</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Механизм доказательства объединения состоит из трёх основных и последовательных функций выдающих блок в разный период его состояния.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 Принятие (accept). При вызове данной функции происходит образование нового блока на базе взятых транзакций </w:t>
      </w:r>
      <w:r>
        <w:rPr>
          <w:rFonts w:ascii="Times New Roman" w:hAnsi="Times New Roman" w:cs="Times New Roman" w:eastAsia="Times New Roman"/>
          <w:sz w:val="24"/>
          <w:szCs w:val="24"/>
          <w:highlight w:val="none"/>
        </w:rPr>
        <w:t xml:space="preserve">с mempool’a. При таком действии не происходит какого бы то ни было согласования с сетью, а следователь</w:t>
      </w:r>
      <w:r>
        <w:rPr>
          <w:rFonts w:ascii="Times New Roman" w:hAnsi="Times New Roman" w:cs="Times New Roman" w:eastAsia="Times New Roman"/>
          <w:sz w:val="24"/>
          <w:szCs w:val="24"/>
          <w:highlight w:val="none"/>
        </w:rPr>
        <w:t xml:space="preserve">но само подтверждение является неполным, не приводящим к окончательному решению консенсуса. После данного этапа начинается временная задержка перед последующим вызовом функции accept, необходимая для согласования с сетью уже на основе второй функции merge.</w:t>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Слияние (merge). При вызове данной функции происходит изменение ранее созданного блока с блоком принятым из вне. В такой функции особ</w:t>
      </w:r>
      <w:r>
        <w:rPr>
          <w:rFonts w:ascii="Times New Roman" w:hAnsi="Times New Roman" w:cs="Times New Roman" w:eastAsia="Times New Roman"/>
          <w:sz w:val="24"/>
          <w:szCs w:val="24"/>
          <w:highlight w:val="none"/>
        </w:rPr>
        <w:t xml:space="preserve">енно важен сам механизм соединения двух разных блоков в один целостный, чтобы отправи</w:t>
      </w:r>
      <w:r>
        <w:rPr>
          <w:rFonts w:ascii="Times New Roman" w:hAnsi="Times New Roman" w:cs="Times New Roman" w:eastAsia="Times New Roman"/>
          <w:sz w:val="24"/>
          <w:szCs w:val="24"/>
          <w:highlight w:val="none"/>
        </w:rPr>
        <w:t xml:space="preserve">тель мог прийти к точно такому же </w:t>
      </w:r>
      <w:r>
        <w:rPr>
          <w:rFonts w:ascii="Times New Roman" w:hAnsi="Times New Roman" w:cs="Times New Roman" w:eastAsia="Times New Roman"/>
          <w:sz w:val="24"/>
          <w:szCs w:val="24"/>
          <w:highlight w:val="none"/>
        </w:rPr>
        <w:t xml:space="preserve">результатному блоку, как и получатель. Одним из самых простых решений может являться сортировка транзакций с помещением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-ого количества из полученного множества в блок. Все отброшенные транзакции после слияния попадают снова в mempool, ожидая следующего блока. </w:t>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709"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Фиксирование (commit).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 Предполагается, что большая</w:t>
      </w:r>
      <w:r>
        <w:rPr>
          <w:rFonts w:ascii="Times New Roman" w:hAnsi="Times New Roman" w:cs="Times New Roman" w:eastAsia="Times New Roman"/>
          <w:sz w:val="24"/>
          <w:szCs w:val="24"/>
          <w:highlight w:val="none"/>
        </w:rPr>
        <w:t xml:space="preserve"> часть валидаторов будет говорить </w:t>
      </w:r>
      <w:r>
        <w:rPr>
          <w:rFonts w:ascii="Times New Roman" w:hAnsi="Times New Roman" w:cs="Times New Roman" w:eastAsia="Times New Roman"/>
          <w:sz w:val="24"/>
          <w:szCs w:val="24"/>
          <w:highlight w:val="none"/>
        </w:rPr>
        <w:t xml:space="preserve">истину, а потому и сохранение итогового блока в конечном счёте будет основываться на количественной характеристике сети. Качественная характеристика может уже налагаться дополнительной бизнес-логикой к ядру блокчейн сети базируемом на PoU алгоритме.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center"/>
        <w:spacing w:after="0" w:before="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949842" cy="2707976"/>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2812" name="" hidden="0"/>
                        <pic:cNvPicPr>
                          <a:picLocks noChangeAspect="1"/>
                        </pic:cNvPicPr>
                        <pic:nvPr isPhoto="0" userDrawn="0"/>
                      </pic:nvPicPr>
                      <pic:blipFill>
                        <a:blip r:embed="rId11"/>
                        <a:stretch/>
                      </pic:blipFill>
                      <pic:spPr bwMode="auto">
                        <a:xfrm flipH="0" flipV="0">
                          <a:off x="0" y="0"/>
                          <a:ext cx="5949842" cy="27079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5pt;height:213.2pt;" stroked="false">
                <v:path textboxrect="0,0,0,0"/>
                <v:imagedata r:id="rId11" o:title=""/>
              </v:shape>
            </w:pict>
          </mc:Fallback>
        </mc:AlternateContent>
      </w:r>
      <w:r>
        <w:rPr>
          <w:rFonts w:ascii="Times New Roman" w:hAnsi="Times New Roman" w:cs="Times New Roman" w:eastAsia="Times New Roman"/>
          <w:sz w:val="24"/>
          <w:szCs w:val="24"/>
          <w:highlight w:val="none"/>
        </w:rPr>
      </w:r>
      <w:r/>
      <w:r>
        <w:rPr>
          <w:sz w:val="24"/>
          <w:szCs w:val="24"/>
          <w:highlight w:val="none"/>
        </w:rPr>
      </w:r>
      <w:r/>
    </w:p>
    <w:p>
      <w:pPr>
        <w:jc w:val="left"/>
        <w:spacing w:after="0" w:before="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szCs w:val="24"/>
          <w:highlight w:val="none"/>
        </w:rPr>
      </w:r>
      <w:r/>
    </w:p>
    <w:p>
      <w:pPr>
        <w:jc w:val="center"/>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b/>
          <w:sz w:val="22"/>
          <w:szCs w:val="24"/>
          <w:highlight w:val="none"/>
        </w:rPr>
        <w:t xml:space="preserve">Рис. 1.</w:t>
      </w:r>
      <w:r>
        <w:rPr>
          <w:rFonts w:ascii="Times New Roman" w:hAnsi="Times New Roman" w:cs="Times New Roman" w:eastAsia="Times New Roman"/>
          <w:sz w:val="22"/>
          <w:szCs w:val="24"/>
          <w:highlight w:val="none"/>
        </w:rPr>
        <w:t xml:space="preserve"> Общая схема консенсуса Proof-of-Union</w:t>
      </w:r>
      <w:r>
        <w:rPr>
          <w:rFonts w:ascii="Times New Roman" w:hAnsi="Times New Roman" w:cs="Times New Roman" w:eastAsia="Times New Roman"/>
          <w:sz w:val="22"/>
          <w:szCs w:val="24"/>
          <w:highlight w:val="none"/>
        </w:rPr>
        <w:t xml:space="preserve"> при двух валидаторах,</w:t>
      </w:r>
      <w:r>
        <w:rPr>
          <w:sz w:val="22"/>
        </w:rPr>
      </w:r>
    </w:p>
    <w:p>
      <w:pPr>
        <w:jc w:val="center"/>
        <w:spacing w:after="0" w:before="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t xml:space="preserve">где h - высота блока, (1+2) - объединение двух позиций</w:t>
      </w:r>
      <w:r>
        <w:rPr>
          <w:rFonts w:ascii="Times New Roman" w:hAnsi="Times New Roman" w:cs="Times New Roman" w:eastAsia="Times New Roman"/>
          <w:sz w:val="22"/>
          <w:szCs w:val="24"/>
          <w:highlight w:val="none"/>
        </w:rP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С экономической точки зрения такой алгоритм консенсуса приведёт к невозможности </w:t>
      </w:r>
      <w:r>
        <w:rPr>
          <w:rFonts w:ascii="Times New Roman" w:hAnsi="Times New Roman" w:cs="Times New Roman" w:eastAsia="Times New Roman"/>
          <w:sz w:val="24"/>
          <w:szCs w:val="24"/>
          <w:highlight w:val="none"/>
        </w:rPr>
        <w:t xml:space="preserve">вознаграждать валидаторов внутренним механизмом бизнес-логики блокчейн технологии, т.к. каждый отдельный валидатор будет генерировать блок исходя из всех других валидаторов сети. Единственным способом поощрения валидации блока</w:t>
      </w:r>
      <w:r>
        <w:rPr>
          <w:rFonts w:ascii="Times New Roman" w:hAnsi="Times New Roman" w:cs="Times New Roman" w:eastAsia="Times New Roman"/>
          <w:sz w:val="24"/>
          <w:szCs w:val="24"/>
          <w:highlight w:val="none"/>
        </w:rPr>
        <w:t xml:space="preserve"> останется поощрение всех валидаторов непосредственно, без учёта их различий.  </w:t>
      </w:r>
      <w:r>
        <w:rPr>
          <w:rFonts w:ascii="Times New Roman" w:hAnsi="Times New Roman" w:cs="Times New Roman" w:eastAsia="Times New Roman"/>
          <w:sz w:val="24"/>
          <w:szCs w:val="24"/>
          <w:highlight w:val="none"/>
        </w:rPr>
      </w:r>
      <w:r/>
    </w:p>
    <w:p>
      <w:pPr>
        <w:ind w:left="0" w:righ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4. Безопасность</w:t>
      </w:r>
      <w:r/>
    </w:p>
    <w:p>
      <w:pPr>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У алгоритма PoU существует ряд неоднозначных явлений, присущих в большей части только ему. Так например, одним из важнейших моментов при анализе безопасности является невозможность доказательства «правильной» цепочки. Иными словами, PoU базируется на основе динамической генерации блоков, когда не существует объективной характеристики определить «вернейшую» цепочку из всего множества уже существующих, т.к. сам алгоритм основывается на концепции их слияния, а не выбора одного возможного элемента. </w:t>
      </w:r>
      <w:r>
        <w:rPr>
          <w:rFonts w:ascii="Times New Roman" w:hAnsi="Times New Roman" w:cs="Times New Roman" w:eastAsia="Times New Roman"/>
          <w:sz w:val="24"/>
          <w:highlight w:val="none"/>
        </w:rPr>
        <w:t xml:space="preserve">Таким образом, новый </w:t>
      </w:r>
      <w:r>
        <w:rPr>
          <w:rFonts w:ascii="Times New Roman" w:hAnsi="Times New Roman" w:cs="Times New Roman" w:eastAsia="Times New Roman"/>
          <w:sz w:val="24"/>
          <w:highlight w:val="none"/>
        </w:rPr>
        <w:t xml:space="preserve">подключающийся </w:t>
      </w:r>
      <w:r>
        <w:rPr>
          <w:rFonts w:ascii="Times New Roman" w:hAnsi="Times New Roman" w:cs="Times New Roman" w:eastAsia="Times New Roman"/>
          <w:sz w:val="24"/>
          <w:highlight w:val="none"/>
        </w:rPr>
        <w:t xml:space="preserve">валидатор должен довериться одной ветви развития блокчейна из предложенного ограниченного множества. </w:t>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szCs w:val="24"/>
        </w:rPr>
        <w:t xml:space="preserve">Пример программного кода [8] процедуры объединения блоков:</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691"/>
        <w:ind w:firstLine="708"/>
        <w:jc w:val="both"/>
        <w:spacing w:after="0" w:before="0"/>
        <w:rPr>
          <w:rFonts w:ascii="Monospace" w:hAnsi="Monospace" w:cs="Monospace" w:eastAsia="Monospace"/>
        </w:rPr>
      </w:pPr>
      <w:r>
        <w:rPr>
          <w:rFonts w:ascii="Monospace" w:hAnsi="Monospace" w:cs="Monospace" w:eastAsia="Monospace"/>
          <w:sz w:val="18"/>
          <w:szCs w:val="24"/>
          <w:lang w:val="en-US"/>
        </w:rPr>
        <w:t xml:space="preserve">import (</w:t>
      </w:r>
      <w:r>
        <w:rPr>
          <w:rFonts w:ascii="Monospace" w:hAnsi="Monospace" w:cs="Monospace" w:eastAsia="Monospace"/>
          <w:sz w:val="18"/>
        </w:rPr>
      </w:r>
      <w:r>
        <w:rPr>
          <w:rFonts w:ascii="Monospace" w:hAnsi="Monospace" w:cs="Monospace" w:eastAsia="Monospace"/>
        </w:rPr>
      </w:r>
    </w:p>
    <w:p>
      <w:pPr>
        <w:pStyle w:val="691"/>
        <w:ind w:left="708" w:firstLine="708"/>
        <w:jc w:val="both"/>
        <w:spacing w:after="0" w:before="0"/>
        <w:rPr>
          <w:rFonts w:ascii="Monospace" w:hAnsi="Monospace" w:cs="Monospace" w:eastAsia="Monospace"/>
        </w:rPr>
      </w:pPr>
      <w:r>
        <w:rPr>
          <w:rFonts w:ascii="Monospace" w:hAnsi="Monospace" w:cs="Monospace" w:eastAsia="Monospace"/>
          <w:color w:val="0D0D0D" w:themeColor="text1" w:themeTint="F2"/>
          <w:sz w:val="18"/>
          <w:szCs w:val="24"/>
          <w:lang w:val="en-US"/>
        </w:rPr>
        <w:t xml:space="preserve">"bytes"</w:t>
      </w:r>
      <w:r>
        <w:rPr>
          <w:rFonts w:ascii="Monospace" w:hAnsi="Monospace" w:cs="Monospace" w:eastAsia="Monospace"/>
          <w:sz w:val="18"/>
        </w:rPr>
      </w:r>
      <w:r>
        <w:rPr>
          <w:rFonts w:ascii="Monospace" w:hAnsi="Monospace" w:cs="Monospace" w:eastAsia="Monospace"/>
        </w:rPr>
      </w:r>
    </w:p>
    <w:p>
      <w:pPr>
        <w:pStyle w:val="691"/>
        <w:ind w:left="708" w:firstLine="0"/>
        <w:jc w:val="both"/>
        <w:spacing w:after="0" w:before="0"/>
        <w:rPr>
          <w:rFonts w:ascii="Monospace" w:hAnsi="Monospace" w:cs="Monospace" w:eastAsia="Monospace"/>
        </w:rPr>
      </w:pPr>
      <w:r>
        <w:rPr>
          <w:rFonts w:ascii="Monospace" w:hAnsi="Monospace" w:cs="Monospace" w:eastAsia="Monospace"/>
          <w:sz w:val="18"/>
          <w:szCs w:val="24"/>
          <w:lang w:val="en-US"/>
        </w:rPr>
        <w:t xml:space="preserve">)</w:t>
      </w:r>
      <w:r>
        <w:rPr>
          <w:rFonts w:ascii="Monospace" w:hAnsi="Monospace" w:cs="Monospace" w:eastAsia="Monospace"/>
          <w:sz w:val="24"/>
          <w:highlight w:val="none"/>
        </w:rPr>
      </w:r>
      <w:r>
        <w:rPr>
          <w:rFonts w:ascii="Monospace" w:hAnsi="Monospace" w:cs="Monospace" w:eastAsia="Monospace"/>
          <w:sz w:val="24"/>
          <w:highlight w:val="none"/>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func</w:t>
      </w:r>
      <w:r>
        <w:rPr>
          <w:rFonts w:ascii="Monospace" w:hAnsi="Monospace" w:cs="Monospace" w:eastAsia="Monospace"/>
          <w:color w:val="000000" w:themeColor="text1"/>
          <w:sz w:val="18"/>
        </w:rPr>
        <w:t xml:space="preserve"> (chain *ChainT) </w:t>
      </w:r>
      <w:r>
        <w:rPr>
          <w:rFonts w:ascii="Monospace" w:hAnsi="Monospace" w:cs="Monospace" w:eastAsia="Monospace"/>
          <w:color w:val="000000" w:themeColor="text1"/>
          <w:sz w:val="18"/>
        </w:rPr>
        <w:t xml:space="preserve">Merge</w:t>
      </w:r>
      <w:r>
        <w:rPr>
          <w:rFonts w:ascii="Monospace" w:hAnsi="Monospace" w:cs="Monospace" w:eastAsia="Monospace"/>
          <w:color w:val="000000" w:themeColor="text1"/>
          <w:sz w:val="18"/>
        </w:rPr>
        <w:t xml:space="preserve">(height Height, txs []Transaction) </w:t>
      </w:r>
      <w:r>
        <w:rPr>
          <w:rFonts w:ascii="Monospace" w:hAnsi="Monospace" w:cs="Monospace" w:eastAsia="Monospace"/>
          <w:color w:val="000000" w:themeColor="text1"/>
          <w:sz w:val="18"/>
        </w:rPr>
        <w:t xml:space="preserve">bool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707"/>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chain.mtx.</w:t>
      </w:r>
      <w:r>
        <w:rPr>
          <w:rFonts w:ascii="Monospace" w:hAnsi="Monospace" w:cs="Monospace" w:eastAsia="Monospace"/>
          <w:color w:val="000000" w:themeColor="text1"/>
          <w:sz w:val="18"/>
        </w:rPr>
        <w:t xml:space="preserve">Lock</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defer</w:t>
      </w:r>
      <w:r>
        <w:rPr>
          <w:rFonts w:ascii="Monospace" w:hAnsi="Monospace" w:cs="Monospace" w:eastAsia="Monospace"/>
          <w:color w:val="000000" w:themeColor="text1"/>
          <w:sz w:val="18"/>
        </w:rPr>
        <w:t xml:space="preserve"> chain.mtx.</w:t>
      </w:r>
      <w:r>
        <w:rPr>
          <w:rFonts w:ascii="Monospace" w:hAnsi="Monospace" w:cs="Monospace" w:eastAsia="Monospace"/>
          <w:color w:val="000000" w:themeColor="text1"/>
          <w:sz w:val="18"/>
        </w:rPr>
        <w:t xml:space="preserve">Unlock</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var</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lastBlock</w:t>
      </w:r>
      <w:r>
        <w:rPr>
          <w:rFonts w:ascii="Monospace" w:hAnsi="Monospace" w:cs="Monospace" w:eastAsia="Monospace"/>
          <w:color w:val="000000" w:themeColor="text1"/>
          <w:sz w:val="18"/>
        </w:rPr>
        <w:t xml:space="preserve"> = chain.</w:t>
      </w:r>
      <w:r>
        <w:rPr>
          <w:rFonts w:ascii="Monospace" w:hAnsi="Monospace" w:cs="Monospace" w:eastAsia="Monospace"/>
          <w:color w:val="000000" w:themeColor="text1"/>
          <w:sz w:val="18"/>
        </w:rPr>
        <w:t xml:space="preserve">Block</w:t>
      </w:r>
      <w:r>
        <w:rPr>
          <w:rFonts w:ascii="Monospace" w:hAnsi="Monospace" w:cs="Monospace" w:eastAsia="Monospace"/>
          <w:color w:val="000000" w:themeColor="text1"/>
          <w:sz w:val="18"/>
        </w:rPr>
        <w:t xml:space="preserve">(height)</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resultTXs</w:t>
      </w:r>
      <w:r>
        <w:rPr>
          <w:rFonts w:ascii="Monospace" w:hAnsi="Monospace" w:cs="Monospace" w:eastAsia="Monospace"/>
          <w:color w:val="000000" w:themeColor="text1"/>
          <w:sz w:val="18"/>
        </w:rPr>
        <w:t xml:space="preserve"> []Transaction</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highlight w:val="none"/>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r>
        <w:rPr>
          <w:rFonts w:ascii="Monospace" w:hAnsi="Monospace" w:cs="Monospace" w:eastAsia="Monospace"/>
          <w:color w:val="000000" w:themeColor="text1"/>
          <w:sz w:val="18"/>
          <w:highlight w:val="none"/>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chain.</w:t>
      </w:r>
      <w:r>
        <w:rPr>
          <w:rFonts w:ascii="Monospace" w:hAnsi="Monospace" w:cs="Monospace" w:eastAsia="Monospace"/>
          <w:color w:val="000000" w:themeColor="text1"/>
          <w:sz w:val="18"/>
        </w:rPr>
        <w:t xml:space="preserve">Height</w:t>
      </w:r>
      <w:r>
        <w:rPr>
          <w:rFonts w:ascii="Monospace" w:hAnsi="Monospace" w:cs="Monospace" w:eastAsia="Monospace"/>
          <w:color w:val="000000" w:themeColor="text1"/>
          <w:sz w:val="18"/>
        </w:rPr>
        <w:t xml:space="preserve">() != height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resultTXs</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append</w:t>
      </w:r>
      <w:r>
        <w:rPr>
          <w:rFonts w:ascii="Monospace" w:hAnsi="Monospace" w:cs="Monospace" w:eastAsia="Monospace"/>
          <w:color w:val="000000" w:themeColor="text1"/>
          <w:sz w:val="18"/>
        </w:rPr>
        <w:t xml:space="preserve">(resultTXs, lastBlock.</w:t>
      </w:r>
      <w:r>
        <w:rPr>
          <w:rFonts w:ascii="Monospace" w:hAnsi="Monospace" w:cs="Monospace" w:eastAsia="Monospace"/>
          <w:color w:val="000000" w:themeColor="text1"/>
          <w:sz w:val="18"/>
        </w:rPr>
        <w:t xml:space="preserve">Transactions</w:t>
      </w: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for</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_</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range</w:t>
      </w:r>
      <w:r>
        <w:rPr>
          <w:rFonts w:ascii="Monospace" w:hAnsi="Monospace" w:cs="Monospace" w:eastAsia="Monospace"/>
          <w:color w:val="000000" w:themeColor="text1"/>
          <w:sz w:val="18"/>
        </w:rPr>
        <w:t xml:space="preserve"> txs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if</w:t>
      </w:r>
      <w:r>
        <w:rPr>
          <w:rFonts w:ascii="Monospace" w:hAnsi="Monospace" w:cs="Monospace" w:eastAsia="Monospace"/>
          <w:color w:val="000000" w:themeColor="text1"/>
          <w:sz w:val="18"/>
        </w:rPr>
        <w:t xml:space="preserve"> !tx.</w:t>
      </w:r>
      <w:r>
        <w:rPr>
          <w:rFonts w:ascii="Monospace" w:hAnsi="Monospace" w:cs="Monospace" w:eastAsia="Monospace"/>
          <w:color w:val="000000" w:themeColor="text1"/>
          <w:sz w:val="18"/>
        </w:rPr>
        <w:t xml:space="preserve">IsValid</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ab/>
      </w:r>
      <w:r>
        <w:rPr>
          <w:rFonts w:ascii="Monospace" w:hAnsi="Monospace" w:cs="Monospace" w:eastAsia="Monospace"/>
          <w:color w:val="000000" w:themeColor="text1"/>
          <w:sz w:val="18"/>
        </w:rPr>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chain.</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(tx.</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nil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ab/>
      </w:r>
      <w:r>
        <w:rPr>
          <w:rFonts w:ascii="Monospace" w:hAnsi="Monospace" w:cs="Monospace" w:eastAsia="Monospace"/>
          <w:color w:val="000000" w:themeColor="text1"/>
          <w:sz w:val="18"/>
        </w:rPr>
        <w:t xml:space="preserve">continue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resultTXs</w:t>
      </w:r>
      <w:r>
        <w:rPr>
          <w:rFonts w:ascii="Monospace" w:hAnsi="Monospace" w:cs="Monospace" w:eastAsia="Monospace"/>
          <w:color w:val="000000" w:themeColor="text1"/>
          <w:sz w:val="18"/>
        </w:rPr>
        <w:t xml:space="preserve"> = </w:t>
      </w:r>
      <w:r>
        <w:rPr>
          <w:rFonts w:ascii="Monospace" w:hAnsi="Monospace" w:cs="Monospace" w:eastAsia="Monospace"/>
          <w:color w:val="000000" w:themeColor="text1"/>
          <w:sz w:val="18"/>
        </w:rPr>
        <w:t xml:space="preserve">append</w:t>
      </w:r>
      <w:r>
        <w:rPr>
          <w:rFonts w:ascii="Monospace" w:hAnsi="Monospace" w:cs="Monospace" w:eastAsia="Monospace"/>
          <w:color w:val="000000" w:themeColor="text1"/>
          <w:sz w:val="18"/>
        </w:rPr>
        <w:t xml:space="preserve">(resultTXs, tx)</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r>
      <w:r>
        <w:rPr>
          <w:rFonts w:ascii="Monospace" w:hAnsi="Monospace" w:cs="Monospace" w:eastAsia="Monospace"/>
          <w:color w:val="000000" w:themeColor="text1"/>
          <w:sz w:val="18"/>
        </w:rPr>
        <w:t xml:space="preserve">if</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len</w:t>
      </w:r>
      <w:r>
        <w:rPr>
          <w:rFonts w:ascii="Monospace" w:hAnsi="Monospace" w:cs="Monospace" w:eastAsia="Monospace"/>
          <w:color w:val="000000" w:themeColor="text1"/>
          <w:sz w:val="18"/>
        </w:rPr>
        <w:t xml:space="preserve">(resultTXs) == TXsSize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false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sort.</w:t>
      </w:r>
      <w:r>
        <w:rPr>
          <w:rFonts w:ascii="Monospace" w:hAnsi="Monospace" w:cs="Monospace" w:eastAsia="Monospace"/>
          <w:color w:val="000000" w:themeColor="text1"/>
          <w:sz w:val="18"/>
        </w:rPr>
        <w:t xml:space="preserve">SliceStable</w:t>
      </w:r>
      <w:r>
        <w:rPr>
          <w:rFonts w:ascii="Monospace" w:hAnsi="Monospace" w:cs="Monospace" w:eastAsia="Monospace"/>
          <w:color w:val="000000" w:themeColor="text1"/>
          <w:sz w:val="18"/>
        </w:rPr>
        <w:t xml:space="preserve">(resultTXs, </w:t>
      </w:r>
      <w:r>
        <w:rPr>
          <w:rFonts w:ascii="Monospace" w:hAnsi="Monospace" w:cs="Monospace" w:eastAsia="Monospace"/>
          <w:color w:val="000000" w:themeColor="text1"/>
          <w:sz w:val="18"/>
        </w:rPr>
        <w:t xml:space="preserve">func</w:t>
      </w:r>
      <w:r>
        <w:rPr>
          <w:rFonts w:ascii="Monospace" w:hAnsi="Monospace" w:cs="Monospace" w:eastAsia="Monospace"/>
          <w:color w:val="000000" w:themeColor="text1"/>
          <w:sz w:val="18"/>
        </w:rPr>
        <w:t xml:space="preserve">(i, j </w:t>
      </w:r>
      <w:r>
        <w:rPr>
          <w:rFonts w:ascii="Monospace" w:hAnsi="Monospace" w:cs="Monospace" w:eastAsia="Monospace"/>
          <w:color w:val="000000" w:themeColor="text1"/>
          <w:sz w:val="18"/>
        </w:rPr>
        <w:t xml:space="preserve">int</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bool</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ab/>
        <w:t xml:space="preserve">return</w:t>
      </w:r>
      <w:r>
        <w:rPr>
          <w:rFonts w:ascii="Monospace" w:hAnsi="Monospace" w:cs="Monospace" w:eastAsia="Monospace"/>
          <w:color w:val="000000" w:themeColor="text1"/>
          <w:sz w:val="18"/>
        </w:rPr>
        <w:t xml:space="preserve"> bytes.</w:t>
      </w:r>
      <w:r>
        <w:rPr>
          <w:rFonts w:ascii="Monospace" w:hAnsi="Monospace" w:cs="Monospace" w:eastAsia="Monospace"/>
          <w:color w:val="000000" w:themeColor="text1"/>
          <w:sz w:val="18"/>
        </w:rPr>
        <w:t xml:space="preserve">Compare</w:t>
      </w:r>
      <w:r>
        <w:rPr>
          <w:rFonts w:ascii="Monospace" w:hAnsi="Monospace" w:cs="Monospace" w:eastAsia="Monospace"/>
          <w:color w:val="000000" w:themeColor="text1"/>
          <w:sz w:val="18"/>
        </w:rPr>
        <w:t xml:space="preserve">(resultTXs[i].</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resultTXs[j].</w:t>
      </w:r>
      <w:r>
        <w:rPr>
          <w:rFonts w:ascii="Monospace" w:hAnsi="Monospace" w:cs="Monospace" w:eastAsia="Monospace"/>
          <w:color w:val="000000" w:themeColor="text1"/>
          <w:sz w:val="18"/>
        </w:rPr>
        <w:t xml:space="preserve">Hash</w:t>
      </w:r>
      <w:r>
        <w:rPr>
          <w:rFonts w:ascii="Monospace" w:hAnsi="Monospace" w:cs="Monospace" w:eastAsia="Monospace"/>
          <w:color w:val="000000" w:themeColor="text1"/>
          <w:sz w:val="18"/>
        </w:rPr>
        <w:t xml:space="preserve">()) &lt; </w:t>
      </w:r>
      <w:r>
        <w:rPr>
          <w:rFonts w:ascii="Monospace" w:hAnsi="Monospace" w:cs="Monospace" w:eastAsia="Monospace"/>
          <w:color w:val="000000" w:themeColor="text1"/>
          <w:sz w:val="18"/>
        </w:rPr>
        <w:t xml:space="preserve">0</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appendTXs</w:t>
      </w:r>
      <w:r>
        <w:rPr>
          <w:rFonts w:ascii="Monospace" w:hAnsi="Monospace" w:cs="Monospace" w:eastAsia="Monospace"/>
          <w:color w:val="000000" w:themeColor="text1"/>
          <w:sz w:val="18"/>
        </w:rPr>
        <w:t xml:space="preserve"> := resultTXs[:TXsSize]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deleteTXs</w:t>
      </w:r>
      <w:r>
        <w:rPr>
          <w:rFonts w:ascii="Monospace" w:hAnsi="Monospace" w:cs="Monospace" w:eastAsia="Monospace"/>
          <w:color w:val="000000" w:themeColor="text1"/>
          <w:sz w:val="18"/>
        </w:rPr>
        <w:t xml:space="preserve"> := resultTXs[TXsSize:]</w:t>
      </w:r>
      <w:r>
        <w:rPr>
          <w:rFonts w:ascii="Monospace" w:hAnsi="Monospace" w:cs="Monospace" w:eastAsia="Monospace"/>
          <w:color w:val="000000" w:themeColor="text1"/>
          <w:sz w:val="18"/>
        </w:rPr>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tab/>
        <w:t xml:space="preserve">chain.</w:t>
      </w:r>
      <w:r>
        <w:rPr>
          <w:rFonts w:ascii="Monospace" w:hAnsi="Monospace" w:cs="Monospace" w:eastAsia="Monospace"/>
          <w:color w:val="000000" w:themeColor="text1"/>
          <w:sz w:val="18"/>
        </w:rPr>
        <w:t xml:space="preserve">updateBlock</w:t>
      </w:r>
      <w:r>
        <w:rPr>
          <w:rFonts w:ascii="Monospace" w:hAnsi="Monospace" w:cs="Monospace" w:eastAsia="Monospace"/>
          <w:color w:val="000000" w:themeColor="text1"/>
          <w:sz w:val="18"/>
        </w:rPr>
        <w:t xml:space="preserve">(height, </w:t>
      </w:r>
      <w:r>
        <w:rPr>
          <w:rFonts w:ascii="Monospace" w:hAnsi="Monospace" w:cs="Monospace" w:eastAsia="Monospace"/>
          <w:color w:val="000000" w:themeColor="text1"/>
          <w:sz w:val="18"/>
        </w:rPr>
        <w:t xml:space="preserve">NewBlock</w:t>
      </w:r>
      <w:r>
        <w:rPr>
          <w:rFonts w:ascii="Monospace" w:hAnsi="Monospace" w:cs="Monospace" w:eastAsia="Monospace"/>
          <w:color w:val="000000" w:themeColor="text1"/>
          <w:sz w:val="18"/>
        </w:rPr>
        <w:t xml:space="preserve">(lastBlock.</w:t>
      </w:r>
      <w:r>
        <w:rPr>
          <w:rFonts w:ascii="Monospace" w:hAnsi="Monospace" w:cs="Monospace" w:eastAsia="Monospace"/>
          <w:color w:val="000000" w:themeColor="text1"/>
          <w:sz w:val="18"/>
        </w:rPr>
        <w:t xml:space="preserve">PrevHash</w:t>
      </w:r>
      <w:r>
        <w:rPr>
          <w:rFonts w:ascii="Monospace" w:hAnsi="Monospace" w:cs="Monospace" w:eastAsia="Monospace"/>
          <w:color w:val="000000" w:themeColor="text1"/>
          <w:sz w:val="18"/>
        </w:rPr>
        <w:t xml:space="preserve">(), appendTXs), deleteTXs)</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ab/>
        <w:t xml:space="preserve">return</w:t>
      </w:r>
      <w:r>
        <w:rPr>
          <w:rFonts w:ascii="Monospace" w:hAnsi="Monospace" w:cs="Monospace" w:eastAsia="Monospace"/>
          <w:color w:val="000000" w:themeColor="text1"/>
          <w:sz w:val="18"/>
        </w:rPr>
        <w:t xml:space="preserve"> </w:t>
      </w:r>
      <w:r>
        <w:rPr>
          <w:rFonts w:ascii="Monospace" w:hAnsi="Monospace" w:cs="Monospace" w:eastAsia="Monospace"/>
          <w:color w:val="000000" w:themeColor="text1"/>
          <w:sz w:val="18"/>
        </w:rPr>
        <w:t xml:space="preserve">true</w:t>
      </w:r>
      <w:r>
        <w:rPr>
          <w:rFonts w:ascii="Monospace" w:hAnsi="Monospace" w:cs="Monospace" w:eastAsia="Monospace"/>
          <w:color w:val="000000" w:themeColor="text1"/>
          <w:sz w:val="18"/>
        </w:rPr>
      </w:r>
    </w:p>
    <w:p>
      <w:pPr>
        <w:ind w:left="709" w:right="0" w:firstLine="0"/>
        <w:spacing w:lineRule="atLeast" w:line="285" w:after="0" w:before="0"/>
        <w:rPr>
          <w:rFonts w:ascii="Monospace" w:hAnsi="Monospace" w:cs="Monospace" w:eastAsia="Monospace"/>
          <w:color w:val="000000" w:themeColor="text1"/>
          <w:sz w:val="18"/>
        </w:rPr>
        <w:pBdr>
          <w:left w:val="none" w:color="000000" w:sz="4" w:space="0"/>
          <w:top w:val="none" w:color="000000" w:sz="4" w:space="0"/>
          <w:right w:val="none" w:color="000000" w:sz="4" w:space="0"/>
          <w:bottom w:val="none" w:color="000000" w:sz="4" w:space="0"/>
        </w:pBdr>
      </w:pPr>
      <w:r>
        <w:rPr>
          <w:rFonts w:ascii="Monospace" w:hAnsi="Monospace" w:cs="Monospace" w:eastAsia="Monospace"/>
          <w:color w:val="000000" w:themeColor="text1"/>
          <w:sz w:val="18"/>
        </w:rPr>
        <w:t xml:space="preserve">}</w:t>
      </w:r>
      <w:r>
        <w:rPr>
          <w:rFonts w:ascii="Monospace" w:hAnsi="Monospace" w:cs="Monospace" w:eastAsia="Monospace"/>
          <w:color w:val="000000" w:themeColor="text1"/>
          <w:sz w:val="18"/>
        </w:rPr>
      </w:r>
    </w:p>
    <w:p>
      <w:pPr>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szCs w:val="24"/>
          <w:highlight w:val="none"/>
        </w:rPr>
        <w:t xml:space="preserve">Продолжая, можно отметить, что функция commit</w:t>
      </w:r>
      <w:r>
        <w:rPr>
          <w:rFonts w:ascii="Times New Roman" w:hAnsi="Times New Roman" w:cs="Times New Roman" w:eastAsia="Times New Roman"/>
          <w:sz w:val="24"/>
          <w:szCs w:val="24"/>
          <w:highlight w:val="none"/>
        </w:rPr>
        <w:t xml:space="preserve"> представляет </w:t>
      </w:r>
      <w:r>
        <w:rPr>
          <w:rFonts w:ascii="Times New Roman" w:hAnsi="Times New Roman" w:cs="Times New Roman" w:eastAsia="Times New Roman"/>
          <w:sz w:val="24"/>
          <w:szCs w:val="24"/>
          <w:highlight w:val="none"/>
        </w:rPr>
        <w:t xml:space="preserve">собой необходимую меру для решения проблематики функции</w:t>
      </w:r>
      <w:r>
        <w:rPr>
          <w:rFonts w:ascii="Times New Roman" w:hAnsi="Times New Roman" w:cs="Times New Roman" w:eastAsia="Times New Roman"/>
          <w:sz w:val="24"/>
          <w:szCs w:val="24"/>
          <w:highlight w:val="none"/>
        </w:rPr>
        <w:t xml:space="preserve"> merge,</w:t>
      </w:r>
      <w:r>
        <w:rPr>
          <w:rFonts w:ascii="Times New Roman" w:hAnsi="Times New Roman" w:cs="Times New Roman" w:eastAsia="Times New Roman"/>
          <w:sz w:val="24"/>
          <w:szCs w:val="24"/>
          <w:highlight w:val="none"/>
        </w:rPr>
        <w:t xml:space="preserve"> когда таковая в чистом виде может приводить к разветвлениям сети, при условии, что сам новый merge-блок появляется в момент нового вызова accept частью сети. Такой случай крайне легко было бы воспроизводить злоумышленниками (без функции commit), постоянно разветвляющими сеть.</w:t>
      </w:r>
      <w:r>
        <w:rPr>
          <w:rFonts w:ascii="Times New Roman" w:hAnsi="Times New Roman" w:cs="Times New Roman" w:eastAsia="Times New Roman"/>
          <w:b/>
          <w:sz w:val="28"/>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Далее, если у сети не существует дополнительной бизнес-логики, а сам алгоритм базируется только на реализации PoU в чистом виде, то представляется возможной атака заполнения блока транзакциями наиболее релевантными по алгоритму выборки транзакций. Это в свою очередь может привести к спам-атаке, которая, как итог, не позволит обычным клиентам сохранять свою информацию в блокчейне.</w:t>
      </w:r>
      <w:r>
        <w:rPr>
          <w:rFonts w:ascii="Times New Roman" w:hAnsi="Times New Roman" w:cs="Times New Roman" w:eastAsia="Times New Roman"/>
          <w:sz w:val="24"/>
          <w:szCs w:val="24"/>
          <w:highlight w:val="none"/>
        </w:rPr>
      </w:r>
    </w:p>
    <w:p>
      <w:pPr>
        <w:ind w:left="0" w:righ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ab/>
      </w:r>
      <w:r>
        <w:rPr>
          <w:rFonts w:ascii="Times New Roman" w:hAnsi="Times New Roman" w:cs="Times New Roman" w:eastAsia="Times New Roman"/>
          <w:sz w:val="24"/>
          <w:szCs w:val="24"/>
          <w:highlight w:val="none"/>
        </w:rPr>
      </w: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5. Заключение</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691"/>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w:t>
      </w:r>
      <w:r>
        <w:rPr>
          <w:rFonts w:ascii="Times New Roman" w:hAnsi="Times New Roman" w:cs="Times New Roman" w:eastAsia="Times New Roman"/>
          <w:sz w:val="24"/>
          <w:szCs w:val="24"/>
          <w:highlight w:val="none"/>
        </w:rPr>
        <w:t xml:space="preserve"> данной работе был выявлен новый класс формирования и установки консенсуса основанный на доказательстве объединения, представленный как альтернатива конкурентной и последовательной моделям. Плюсом алгоритма стала простота его реализации и скорость генерации блоков. </w:t>
      </w:r>
      <w:r>
        <w:rPr>
          <w:rFonts w:ascii="Times New Roman" w:hAnsi="Times New Roman" w:cs="Times New Roman" w:eastAsia="Times New Roman"/>
          <w:sz w:val="24"/>
          <w:szCs w:val="24"/>
          <w:highlight w:val="none"/>
        </w:rPr>
        <w:t xml:space="preserve">Помимо плюсов сам алгоритм представляет и неоднозначность безопасности, т.к. базируется на кардинально противоположной позиции конкурентной и последовательной моделям консенсуса, и требует объединения разных взглядов на выдвинутый валидаторами блок.</w:t>
      </w:r>
      <w:r/>
    </w:p>
    <w:p>
      <w:pPr>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691"/>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r>
      <w:r>
        <w:rPr>
          <w:rFonts w:ascii="Times New Roman" w:hAnsi="Times New Roman" w:cs="Times New Roman" w:eastAsia="Times New Roman"/>
          <w:b/>
          <w:sz w:val="28"/>
          <w:szCs w:val="24"/>
        </w:rPr>
        <w:t xml:space="preserve">Список литературы</w:t>
      </w:r>
      <w:bookmarkStart w:id="23" w:name="Список_литературы"/>
      <w:r>
        <w:rPr>
          <w:rFonts w:ascii="Times New Roman" w:hAnsi="Times New Roman" w:cs="Times New Roman" w:eastAsia="Times New Roman"/>
          <w:b/>
          <w:sz w:val="28"/>
          <w:szCs w:val="24"/>
        </w:rPr>
      </w:r>
      <w:bookmarkEnd w:id="23"/>
      <w:r>
        <w:rPr>
          <w:rFonts w:ascii="Times New Roman" w:hAnsi="Times New Roman" w:cs="Times New Roman" w:eastAsia="Times New Roman"/>
          <w:b/>
          <w:sz w:val="28"/>
          <w:szCs w:val="24"/>
        </w:rPr>
        <w:t xml:space="preserve"> </w:t>
      </w:r>
      <w:r/>
    </w:p>
    <w:p>
      <w:pPr>
        <w:pStyle w:val="691"/>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rPr>
      </w:r>
      <w:r>
        <w:rPr>
          <w:rFonts w:ascii="Times New Roman" w:hAnsi="Times New Roman" w:cs="Times New Roman" w:eastAsia="Times New Roman"/>
          <w:sz w:val="24"/>
        </w:rPr>
        <w:t xml:space="preserve">Накамото, С. Биткойн: система цифровой пиринговой наличности [Электронный ресурс]. — Режим доступа: </w:t>
      </w:r>
      <w:hyperlink r:id="rId12" w:tooltip="https://bitcoin.org/files/bitcoin-paper/bitcoin_ru.pdf" w:history="1">
        <w:r>
          <w:rPr>
            <w:rFonts w:ascii="Times New Roman" w:hAnsi="Times New Roman" w:cs="Times New Roman" w:eastAsia="Times New Roman"/>
            <w:sz w:val="24"/>
          </w:rPr>
          <w:t xml:space="preserve">https://bitcoin.org/files/bitcoin-paper/bitcoin_ru.pdf</w:t>
        </w:r>
      </w:hyperlink>
      <w:r>
        <w:rPr>
          <w:rFonts w:ascii="Times New Roman" w:hAnsi="Times New Roman" w:cs="Times New Roman" w:eastAsia="Times New Roman"/>
          <w:sz w:val="24"/>
        </w:rPr>
        <w:t xml:space="preserve"> (дата обращения: 19.12.2020).</w:t>
      </w:r>
      <w:r>
        <w:rPr>
          <w:rFonts w:ascii="Times New Roman" w:hAnsi="Times New Roman" w:cs="Times New Roman" w:eastAsia="Times New Roman"/>
          <w:sz w:val="24"/>
        </w:rPr>
        <w:t xml:space="preserve"> </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rPr>
        <w:t xml:space="preserve">King, S., Nadal, S. PPCoin: Peer-to-Peer Crypto-Currency with Proof-of-Stake </w:t>
      </w:r>
      <w:r>
        <w:rPr>
          <w:rFonts w:ascii="Times New Roman" w:hAnsi="Times New Roman" w:cs="Times New Roman" w:eastAsia="Times New Roman"/>
          <w:sz w:val="24"/>
        </w:rPr>
        <w:t xml:space="preserve">[Электронный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highlight w:val="none"/>
        </w:rPr>
        <w:t xml:space="preserve">https://web.archive.org/web/20171211072318/https://peercoin.net/assets/paper/peercoin-pap</w:t>
      </w:r>
      <w:r>
        <w:rPr>
          <w:rFonts w:ascii="Times New Roman" w:hAnsi="Times New Roman" w:cs="Times New Roman" w:eastAsia="Times New Roman"/>
          <w:sz w:val="24"/>
          <w:highlight w:val="none"/>
        </w:rPr>
        <w:t xml:space="preserve">er.pdf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t xml:space="preserve">PROOF OF STAKE - это скам</w:t>
      </w:r>
      <w:r>
        <w:rPr>
          <w:rFonts w:ascii="Times New Roman" w:hAnsi="Times New Roman" w:cs="Times New Roman" w:eastAsia="Times New Roman"/>
          <w:sz w:val="24"/>
        </w:rPr>
        <w:t xml:space="preserve"> [Электронный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Fonts w:ascii="Times New Roman" w:hAnsi="Times New Roman" w:cs="Times New Roman" w:eastAsia="Times New Roman"/>
          <w:sz w:val="24"/>
          <w:highlight w:val="none"/>
        </w:rPr>
        <w:t xml:space="preserve">https://habr.com/ru/post/600113</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Style w:val="742"/>
          <w:rFonts w:ascii="Times New Roman" w:hAnsi="Times New Roman" w:cs="Times New Roman" w:eastAsia="Times New Roman"/>
          <w:color w:val="000000"/>
          <w:sz w:val="24"/>
        </w:rPr>
        <w:t xml:space="preserve">Шнайер, Б. Секреты и ложь. Безопасность данных в цифровом мире / Б. Шнайер. — СпБ.: Питер, 2003. - 368 с.</w:t>
      </w:r>
      <w:r>
        <w:rPr>
          <w:rFonts w:ascii="Times New Roman" w:hAnsi="Times New Roman" w:cs="Times New Roman" w:eastAsia="Times New Roman"/>
          <w:sz w:val="24"/>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highlight w:val="none"/>
        </w:rPr>
        <w:t xml:space="preserve">Взгляд изнутри: цены на видеокарты и чего ждать от рынка завтра? </w:t>
      </w:r>
      <w:r>
        <w:rPr>
          <w:rFonts w:ascii="Times New Roman" w:hAnsi="Times New Roman" w:cs="Times New Roman" w:eastAsia="Times New Roman"/>
          <w:sz w:val="24"/>
        </w:rPr>
        <w:t xml:space="preserve">[Электронный ресурс].</w:t>
      </w:r>
      <w:r>
        <w:rPr>
          <w:rStyle w:val="742"/>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 Режим доступа: </w:t>
      </w:r>
      <w:r>
        <w:rPr>
          <w:rStyle w:val="742"/>
          <w:rFonts w:ascii="Times New Roman" w:hAnsi="Times New Roman" w:cs="Times New Roman" w:eastAsia="Times New Roman"/>
          <w:color w:val="000000"/>
          <w:sz w:val="24"/>
          <w:highlight w:val="none"/>
        </w:rPr>
        <w:t xml:space="preserve">https://habr.com/ru/company/asus/blog/571400 </w:t>
      </w:r>
      <w:r>
        <w:rPr>
          <w:rFonts w:ascii="Times New Roman" w:hAnsi="Times New Roman" w:cs="Times New Roman" w:eastAsia="Times New Roman"/>
          <w:sz w:val="24"/>
        </w:rPr>
        <w:t xml:space="preserve">(дата обращения: 29.01.2022).</w:t>
      </w:r>
      <w:r>
        <w:rPr>
          <w:rStyle w:val="742"/>
          <w:rFonts w:ascii="Times New Roman" w:hAnsi="Times New Roman" w:cs="Times New Roman" w:eastAsia="Times New Roman"/>
          <w:color w:val="000000"/>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Style w:val="742"/>
          <w:rFonts w:ascii="Times New Roman" w:hAnsi="Times New Roman" w:cs="Times New Roman" w:eastAsia="Times New Roman"/>
          <w:color w:val="000000"/>
          <w:sz w:val="24"/>
          <w:highlight w:val="none"/>
        </w:rPr>
        <w:t xml:space="preserve">Самохин, В., Самохин, Д., Бабкин, Е., Петров, И. Актуальность вопросов энергосбережения на майнинг-фермах</w:t>
      </w:r>
      <w:r>
        <w:rPr>
          <w:rFonts w:ascii="Times New Roman" w:hAnsi="Times New Roman" w:cs="Times New Roman" w:eastAsia="Times New Roman"/>
          <w:sz w:val="24"/>
        </w:rPr>
        <w:t xml:space="preserve"> [Электронный ресурс]. — Режим доступа: </w:t>
      </w:r>
      <w:r>
        <w:rPr>
          <w:rStyle w:val="742"/>
          <w:rFonts w:ascii="Times New Roman" w:hAnsi="Times New Roman" w:cs="Times New Roman" w:eastAsia="Times New Roman"/>
          <w:color w:val="000000"/>
          <w:sz w:val="24"/>
          <w:highlight w:val="none"/>
        </w:rPr>
        <w:t xml:space="preserve">https://cyberleninka.ru/article/n/aktualnost-voprosov-energosberezheniya-na-mayning-fermah </w:t>
      </w:r>
      <w:r>
        <w:rPr>
          <w:rFonts w:ascii="Times New Roman" w:hAnsi="Times New Roman" w:cs="Times New Roman" w:eastAsia="Times New Roman"/>
          <w:sz w:val="24"/>
        </w:rPr>
        <w:t xml:space="preserve">(дата обращения: 29.01.2022). </w:t>
      </w:r>
      <w:r>
        <w:rPr>
          <w:rFonts w:ascii="Times New Roman" w:hAnsi="Times New Roman" w:cs="Times New Roman" w:eastAsia="Times New Roman"/>
          <w:sz w:val="24"/>
          <w:highlight w:val="none"/>
        </w:rPr>
      </w: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Style w:val="742"/>
          <w:rFonts w:ascii="Times New Roman" w:hAnsi="Times New Roman" w:cs="Times New Roman" w:eastAsia="Times New Roman"/>
          <w:color w:val="000000"/>
          <w:sz w:val="24"/>
          <w:highlight w:val="none"/>
        </w:rPr>
        <w:t xml:space="preserve">Герасимов, И., Чижов, И. Алгоритм консенсуса платформы Tendermint и механизм Proof Of Lock Change</w:t>
      </w:r>
      <w:r>
        <w:rPr>
          <w:rFonts w:ascii="Times New Roman" w:hAnsi="Times New Roman" w:cs="Times New Roman" w:eastAsia="Times New Roman"/>
          <w:sz w:val="24"/>
        </w:rPr>
        <w:t xml:space="preserve"> [Эле</w:t>
      </w:r>
      <w:r>
        <w:rPr>
          <w:rFonts w:ascii="Times New Roman" w:hAnsi="Times New Roman" w:cs="Times New Roman" w:eastAsia="Times New Roman"/>
          <w:sz w:val="24"/>
        </w:rPr>
        <w:t xml:space="preserve">ктронный ресурс]. — Режим доступа: </w:t>
      </w:r>
      <w:r>
        <w:rPr>
          <w:rFonts w:ascii="Times New Roman" w:hAnsi="Times New Roman" w:cs="Times New Roman" w:eastAsia="Times New Roman"/>
          <w:sz w:val="24"/>
          <w:highlight w:val="none"/>
        </w:rPr>
        <w:t xml:space="preserve">https://cyberleninka.ru/article/n/algoritm-konsensusa-platformy-tendermint-i-mehanizm-proof-of-lock-change</w:t>
      </w:r>
      <w:r>
        <w:rPr>
          <w:rStyle w:val="74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rPr>
        <w:t xml:space="preserve">(дата обращения: 29.01.2022).</w:t>
      </w:r>
      <w:r>
        <w:rPr>
          <w:rFonts w:ascii="Times New Roman" w:hAnsi="Times New Roman" w:cs="Times New Roman" w:eastAsia="Times New Roman"/>
        </w:rPr>
      </w:r>
    </w:p>
    <w:p>
      <w:pPr>
        <w:pStyle w:val="772"/>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Д</w:t>
      </w:r>
      <w:r>
        <w:rPr>
          <w:rStyle w:val="742"/>
          <w:rFonts w:ascii="Times New Roman" w:hAnsi="Times New Roman" w:cs="Times New Roman" w:eastAsia="Times New Roman"/>
          <w:color w:val="000000"/>
          <w:sz w:val="24"/>
        </w:rPr>
        <w:t xml:space="preserve">онован, А., Керниган, Б. Язык программирования Go / А.А. Донован, Б.У. Керниган. — М.: ООО «И.Д. Вильямс», 2018. - 432 с.</w:t>
      </w:r>
      <w:r>
        <w:rPr>
          <w:rFonts w:ascii="Times New Roman" w:hAnsi="Times New Roman" w:cs="Times New Roman" w:eastAsia="Times New Roman"/>
          <w:color w:val="000000"/>
          <w:sz w:val="24"/>
        </w:rPr>
      </w:r>
      <w:r>
        <w:rPr>
          <w:rFonts w:ascii="Times New Roman" w:hAnsi="Times New Roman" w:cs="Times New Roman" w:eastAsia="Times New Roman"/>
        </w:rPr>
      </w:r>
    </w:p>
    <w:p>
      <w:pPr>
        <w:contextualSpacing w:val="true"/>
        <w:ind w:left="0" w:firstLine="0"/>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contextualSpacing w:val="true"/>
        <w:ind w:left="0" w:firstLine="0"/>
        <w:jc w:val="both"/>
        <w:spacing w:after="0" w:before="0"/>
        <w:rPr>
          <w:rFonts w:ascii="Times New Roman" w:hAnsi="Times New Roman" w:cs="Times New Roman" w:eastAsia="Times New Roman"/>
          <w:sz w:val="24"/>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75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8">
    <w:name w:val="Hyperlink"/>
    <w:uiPriority w:val="99"/>
    <w:unhideWhenUsed/>
    <w:rPr>
      <w:color w:val="0000FF" w:themeColor="hyperlink"/>
      <w:u w:val="single"/>
    </w:rPr>
  </w:style>
  <w:style w:type="character" w:styleId="689">
    <w:name w:val="footnote reference"/>
    <w:basedOn w:val="706"/>
    <w:uiPriority w:val="99"/>
    <w:unhideWhenUsed/>
    <w:rPr>
      <w:vertAlign w:val="superscript"/>
    </w:rPr>
  </w:style>
  <w:style w:type="character" w:styleId="690">
    <w:name w:val="endnote reference"/>
    <w:basedOn w:val="706"/>
    <w:uiPriority w:val="99"/>
    <w:semiHidden/>
    <w:unhideWhenUsed/>
    <w:rPr>
      <w:vertAlign w:val="superscript"/>
    </w:rPr>
  </w:style>
  <w:style w:type="paragraph" w:styleId="691"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692">
    <w:name w:val="Heading 1"/>
    <w:basedOn w:val="691"/>
    <w:next w:val="691"/>
    <w:qFormat/>
    <w:uiPriority w:val="9"/>
    <w:rPr>
      <w:rFonts w:ascii="Arial" w:hAnsi="Arial" w:cs="Arial" w:eastAsia="Arial"/>
      <w:sz w:val="40"/>
      <w:szCs w:val="40"/>
    </w:rPr>
    <w:pPr>
      <w:keepLines/>
      <w:keepNext/>
      <w:spacing w:after="200" w:before="480"/>
      <w:outlineLvl w:val="0"/>
    </w:pPr>
  </w:style>
  <w:style w:type="paragraph" w:styleId="693">
    <w:name w:val="Heading 2"/>
    <w:basedOn w:val="691"/>
    <w:next w:val="691"/>
    <w:qFormat/>
    <w:uiPriority w:val="9"/>
    <w:unhideWhenUsed/>
    <w:rPr>
      <w:rFonts w:ascii="Arial" w:hAnsi="Arial" w:cs="Arial" w:eastAsia="Arial"/>
      <w:sz w:val="34"/>
    </w:rPr>
    <w:pPr>
      <w:keepLines/>
      <w:keepNext/>
      <w:spacing w:after="200" w:before="360"/>
      <w:outlineLvl w:val="1"/>
    </w:pPr>
  </w:style>
  <w:style w:type="paragraph" w:styleId="694">
    <w:name w:val="Heading 3"/>
    <w:basedOn w:val="691"/>
    <w:next w:val="691"/>
    <w:qFormat/>
    <w:uiPriority w:val="9"/>
    <w:unhideWhenUsed/>
    <w:rPr>
      <w:rFonts w:ascii="Arial" w:hAnsi="Arial" w:cs="Arial" w:eastAsia="Arial"/>
      <w:sz w:val="30"/>
      <w:szCs w:val="30"/>
    </w:rPr>
    <w:pPr>
      <w:keepLines/>
      <w:keepNext/>
      <w:spacing w:after="200" w:before="320"/>
      <w:outlineLvl w:val="2"/>
    </w:pPr>
  </w:style>
  <w:style w:type="paragraph" w:styleId="695">
    <w:name w:val="Heading 4"/>
    <w:basedOn w:val="691"/>
    <w:next w:val="691"/>
    <w:qFormat/>
    <w:uiPriority w:val="9"/>
    <w:unhideWhenUsed/>
    <w:rPr>
      <w:rFonts w:ascii="Arial" w:hAnsi="Arial" w:cs="Arial" w:eastAsia="Arial"/>
      <w:b/>
      <w:bCs/>
      <w:sz w:val="26"/>
      <w:szCs w:val="26"/>
    </w:rPr>
    <w:pPr>
      <w:keepLines/>
      <w:keepNext/>
      <w:spacing w:after="200" w:before="320"/>
      <w:outlineLvl w:val="3"/>
    </w:pPr>
  </w:style>
  <w:style w:type="paragraph" w:styleId="696">
    <w:name w:val="Heading 5"/>
    <w:basedOn w:val="691"/>
    <w:next w:val="691"/>
    <w:qFormat/>
    <w:uiPriority w:val="9"/>
    <w:unhideWhenUsed/>
    <w:rPr>
      <w:rFonts w:ascii="Arial" w:hAnsi="Arial" w:cs="Arial" w:eastAsia="Arial"/>
      <w:b/>
      <w:bCs/>
      <w:sz w:val="24"/>
      <w:szCs w:val="24"/>
    </w:rPr>
    <w:pPr>
      <w:keepLines/>
      <w:keepNext/>
      <w:spacing w:after="200" w:before="320"/>
      <w:outlineLvl w:val="4"/>
    </w:pPr>
  </w:style>
  <w:style w:type="paragraph" w:styleId="697">
    <w:name w:val="Heading 6"/>
    <w:basedOn w:val="691"/>
    <w:next w:val="691"/>
    <w:qFormat/>
    <w:uiPriority w:val="9"/>
    <w:unhideWhenUsed/>
    <w:rPr>
      <w:rFonts w:ascii="Arial" w:hAnsi="Arial" w:cs="Arial" w:eastAsia="Arial"/>
      <w:b/>
      <w:bCs/>
    </w:rPr>
    <w:pPr>
      <w:keepLines/>
      <w:keepNext/>
      <w:spacing w:after="200" w:before="320"/>
      <w:outlineLvl w:val="5"/>
    </w:pPr>
  </w:style>
  <w:style w:type="paragraph" w:styleId="698">
    <w:name w:val="Heading 7"/>
    <w:basedOn w:val="691"/>
    <w:next w:val="691"/>
    <w:qFormat/>
    <w:uiPriority w:val="9"/>
    <w:unhideWhenUsed/>
    <w:rPr>
      <w:rFonts w:ascii="Arial" w:hAnsi="Arial" w:cs="Arial" w:eastAsia="Arial"/>
      <w:b/>
      <w:bCs/>
      <w:i/>
      <w:iCs/>
    </w:rPr>
    <w:pPr>
      <w:keepLines/>
      <w:keepNext/>
      <w:spacing w:after="200" w:before="320"/>
      <w:outlineLvl w:val="6"/>
    </w:pPr>
  </w:style>
  <w:style w:type="paragraph" w:styleId="699">
    <w:name w:val="Heading 8"/>
    <w:basedOn w:val="691"/>
    <w:next w:val="691"/>
    <w:qFormat/>
    <w:uiPriority w:val="9"/>
    <w:unhideWhenUsed/>
    <w:rPr>
      <w:rFonts w:ascii="Arial" w:hAnsi="Arial" w:cs="Arial" w:eastAsia="Arial"/>
      <w:i/>
      <w:iCs/>
    </w:rPr>
    <w:pPr>
      <w:keepLines/>
      <w:keepNext/>
      <w:spacing w:after="200" w:before="320"/>
      <w:outlineLvl w:val="7"/>
    </w:pPr>
  </w:style>
  <w:style w:type="paragraph" w:styleId="700">
    <w:name w:val="Heading 9"/>
    <w:basedOn w:val="691"/>
    <w:next w:val="691"/>
    <w:qFormat/>
    <w:uiPriority w:val="9"/>
    <w:unhideWhenUsed/>
    <w:rPr>
      <w:rFonts w:ascii="Arial" w:hAnsi="Arial" w:cs="Arial" w:eastAsia="Arial"/>
      <w:i/>
      <w:iCs/>
      <w:sz w:val="21"/>
      <w:szCs w:val="21"/>
    </w:rPr>
    <w:pPr>
      <w:keepLines/>
      <w:keepNext/>
      <w:spacing w:after="200" w:before="320"/>
      <w:outlineLvl w:val="8"/>
    </w:pPr>
  </w:style>
  <w:style w:type="character" w:styleId="701">
    <w:name w:val="Интернет-ссылка"/>
    <w:uiPriority w:val="99"/>
    <w:unhideWhenUsed/>
    <w:rPr>
      <w:color w:val="0563C1" w:themeColor="hyperlink"/>
      <w:u w:val="single"/>
    </w:rPr>
  </w:style>
  <w:style w:type="character" w:styleId="702">
    <w:name w:val="Привязка сноски"/>
    <w:rPr>
      <w:vertAlign w:val="superscript"/>
    </w:rPr>
  </w:style>
  <w:style w:type="character" w:styleId="703">
    <w:name w:val="Footnote Characters"/>
    <w:basedOn w:val="706"/>
    <w:qFormat/>
    <w:uiPriority w:val="99"/>
    <w:unhideWhenUsed/>
    <w:rPr>
      <w:vertAlign w:val="superscript"/>
    </w:rPr>
  </w:style>
  <w:style w:type="character" w:styleId="704">
    <w:name w:val="Привязка концевой сноски"/>
    <w:rPr>
      <w:vertAlign w:val="superscript"/>
    </w:rPr>
  </w:style>
  <w:style w:type="character" w:styleId="705">
    <w:name w:val="Endnote Characters"/>
    <w:basedOn w:val="706"/>
    <w:qFormat/>
    <w:uiPriority w:val="99"/>
    <w:semiHidden/>
    <w:unhideWhenUsed/>
    <w:rPr>
      <w:vertAlign w:val="superscript"/>
    </w:rPr>
  </w:style>
  <w:style w:type="character" w:styleId="706" w:default="1">
    <w:name w:val="Default Paragraph Font"/>
    <w:qFormat/>
    <w:uiPriority w:val="1"/>
    <w:semiHidden/>
    <w:unhideWhenUsed/>
  </w:style>
  <w:style w:type="character" w:styleId="707" w:customStyle="1">
    <w:name w:val="Heading 1 Char"/>
    <w:basedOn w:val="706"/>
    <w:qFormat/>
    <w:uiPriority w:val="9"/>
    <w:rPr>
      <w:rFonts w:ascii="Arial" w:hAnsi="Arial" w:cs="Arial" w:eastAsia="Arial"/>
      <w:sz w:val="40"/>
      <w:szCs w:val="40"/>
    </w:rPr>
  </w:style>
  <w:style w:type="character" w:styleId="708" w:customStyle="1">
    <w:name w:val="Heading 2 Char"/>
    <w:basedOn w:val="706"/>
    <w:qFormat/>
    <w:uiPriority w:val="9"/>
    <w:rPr>
      <w:rFonts w:ascii="Arial" w:hAnsi="Arial" w:cs="Arial" w:eastAsia="Arial"/>
      <w:sz w:val="34"/>
    </w:rPr>
  </w:style>
  <w:style w:type="character" w:styleId="709" w:customStyle="1">
    <w:name w:val="Heading 3 Char"/>
    <w:basedOn w:val="706"/>
    <w:qFormat/>
    <w:uiPriority w:val="9"/>
    <w:rPr>
      <w:rFonts w:ascii="Arial" w:hAnsi="Arial" w:cs="Arial" w:eastAsia="Arial"/>
      <w:sz w:val="30"/>
      <w:szCs w:val="30"/>
    </w:rPr>
  </w:style>
  <w:style w:type="character" w:styleId="710" w:customStyle="1">
    <w:name w:val="Heading 4 Char"/>
    <w:basedOn w:val="706"/>
    <w:qFormat/>
    <w:uiPriority w:val="9"/>
    <w:rPr>
      <w:rFonts w:ascii="Arial" w:hAnsi="Arial" w:cs="Arial" w:eastAsia="Arial"/>
      <w:b/>
      <w:bCs/>
      <w:sz w:val="26"/>
      <w:szCs w:val="26"/>
    </w:rPr>
  </w:style>
  <w:style w:type="character" w:styleId="711" w:customStyle="1">
    <w:name w:val="Heading 5 Char"/>
    <w:basedOn w:val="706"/>
    <w:qFormat/>
    <w:uiPriority w:val="9"/>
    <w:rPr>
      <w:rFonts w:ascii="Arial" w:hAnsi="Arial" w:cs="Arial" w:eastAsia="Arial"/>
      <w:b/>
      <w:bCs/>
      <w:sz w:val="24"/>
      <w:szCs w:val="24"/>
    </w:rPr>
  </w:style>
  <w:style w:type="character" w:styleId="712" w:customStyle="1">
    <w:name w:val="Heading 6 Char"/>
    <w:basedOn w:val="706"/>
    <w:qFormat/>
    <w:uiPriority w:val="9"/>
    <w:rPr>
      <w:rFonts w:ascii="Arial" w:hAnsi="Arial" w:cs="Arial" w:eastAsia="Arial"/>
      <w:b/>
      <w:bCs/>
      <w:sz w:val="22"/>
      <w:szCs w:val="22"/>
    </w:rPr>
  </w:style>
  <w:style w:type="character" w:styleId="713" w:customStyle="1">
    <w:name w:val="Heading 7 Char"/>
    <w:basedOn w:val="706"/>
    <w:qFormat/>
    <w:uiPriority w:val="9"/>
    <w:rPr>
      <w:rFonts w:ascii="Arial" w:hAnsi="Arial" w:cs="Arial" w:eastAsia="Arial"/>
      <w:b/>
      <w:bCs/>
      <w:i/>
      <w:iCs/>
      <w:sz w:val="22"/>
      <w:szCs w:val="22"/>
    </w:rPr>
  </w:style>
  <w:style w:type="character" w:styleId="714" w:customStyle="1">
    <w:name w:val="Heading 8 Char"/>
    <w:basedOn w:val="706"/>
    <w:qFormat/>
    <w:uiPriority w:val="9"/>
    <w:rPr>
      <w:rFonts w:ascii="Arial" w:hAnsi="Arial" w:cs="Arial" w:eastAsia="Arial"/>
      <w:i/>
      <w:iCs/>
      <w:sz w:val="22"/>
      <w:szCs w:val="22"/>
    </w:rPr>
  </w:style>
  <w:style w:type="character" w:styleId="715" w:customStyle="1">
    <w:name w:val="Heading 9 Char"/>
    <w:basedOn w:val="706"/>
    <w:qFormat/>
    <w:uiPriority w:val="9"/>
    <w:rPr>
      <w:rFonts w:ascii="Arial" w:hAnsi="Arial" w:cs="Arial" w:eastAsia="Arial"/>
      <w:i/>
      <w:iCs/>
      <w:sz w:val="21"/>
      <w:szCs w:val="21"/>
    </w:rPr>
  </w:style>
  <w:style w:type="character" w:styleId="716" w:customStyle="1">
    <w:name w:val="Title Char"/>
    <w:basedOn w:val="706"/>
    <w:qFormat/>
    <w:uiPriority w:val="10"/>
    <w:rPr>
      <w:sz w:val="48"/>
      <w:szCs w:val="48"/>
    </w:rPr>
  </w:style>
  <w:style w:type="character" w:styleId="717" w:customStyle="1">
    <w:name w:val="Subtitle Char"/>
    <w:basedOn w:val="706"/>
    <w:qFormat/>
    <w:uiPriority w:val="11"/>
    <w:rPr>
      <w:sz w:val="24"/>
      <w:szCs w:val="24"/>
    </w:rPr>
  </w:style>
  <w:style w:type="character" w:styleId="718" w:customStyle="1">
    <w:name w:val="Quote Char"/>
    <w:qFormat/>
    <w:uiPriority w:val="29"/>
    <w:rPr>
      <w:i/>
    </w:rPr>
  </w:style>
  <w:style w:type="character" w:styleId="719" w:customStyle="1">
    <w:name w:val="Intense Quote Char"/>
    <w:qFormat/>
    <w:uiPriority w:val="30"/>
    <w:rPr>
      <w:i/>
    </w:rPr>
  </w:style>
  <w:style w:type="character" w:styleId="720" w:customStyle="1">
    <w:name w:val="Header Char"/>
    <w:basedOn w:val="706"/>
    <w:qFormat/>
    <w:uiPriority w:val="99"/>
  </w:style>
  <w:style w:type="character" w:styleId="721" w:customStyle="1">
    <w:name w:val="Footer Char"/>
    <w:basedOn w:val="706"/>
    <w:qFormat/>
    <w:uiPriority w:val="99"/>
  </w:style>
  <w:style w:type="character" w:styleId="722" w:customStyle="1">
    <w:name w:val="Footnote Text Char"/>
    <w:qFormat/>
    <w:uiPriority w:val="99"/>
    <w:rPr>
      <w:sz w:val="18"/>
    </w:rPr>
  </w:style>
  <w:style w:type="character" w:styleId="723" w:customStyle="1">
    <w:name w:val="Endnote Text Char"/>
    <w:qFormat/>
    <w:uiPriority w:val="99"/>
    <w:rPr>
      <w:sz w:val="20"/>
    </w:rPr>
  </w:style>
  <w:style w:type="character" w:styleId="724" w:customStyle="1">
    <w:name w:val="Caption Char"/>
    <w:qFormat/>
    <w:uiPriority w:val="99"/>
  </w:style>
  <w:style w:type="character" w:styleId="725" w:customStyle="1">
    <w:name w:val="Текст концевой сноски Знак"/>
    <w:qFormat/>
    <w:uiPriority w:val="99"/>
    <w:rPr>
      <w:sz w:val="20"/>
    </w:rPr>
  </w:style>
  <w:style w:type="character" w:styleId="726" w:customStyle="1">
    <w:name w:val="Заголовок 1 Знак"/>
    <w:basedOn w:val="706"/>
    <w:qFormat/>
    <w:uiPriority w:val="9"/>
    <w:rPr>
      <w:rFonts w:ascii="Arial" w:hAnsi="Arial" w:cs="Arial" w:eastAsia="Arial"/>
      <w:sz w:val="40"/>
      <w:szCs w:val="40"/>
    </w:rPr>
  </w:style>
  <w:style w:type="character" w:styleId="727" w:customStyle="1">
    <w:name w:val="Заголовок 2 Знак"/>
    <w:basedOn w:val="706"/>
    <w:qFormat/>
    <w:uiPriority w:val="9"/>
    <w:rPr>
      <w:rFonts w:ascii="Arial" w:hAnsi="Arial" w:cs="Arial" w:eastAsia="Arial"/>
      <w:sz w:val="34"/>
    </w:rPr>
  </w:style>
  <w:style w:type="character" w:styleId="728" w:customStyle="1">
    <w:name w:val="Заголовок 3 Знак"/>
    <w:basedOn w:val="706"/>
    <w:qFormat/>
    <w:uiPriority w:val="9"/>
    <w:rPr>
      <w:rFonts w:ascii="Arial" w:hAnsi="Arial" w:cs="Arial" w:eastAsia="Arial"/>
      <w:sz w:val="30"/>
      <w:szCs w:val="30"/>
    </w:rPr>
  </w:style>
  <w:style w:type="character" w:styleId="729" w:customStyle="1">
    <w:name w:val="Заголовок 4 Знак"/>
    <w:basedOn w:val="706"/>
    <w:qFormat/>
    <w:uiPriority w:val="9"/>
    <w:rPr>
      <w:rFonts w:ascii="Arial" w:hAnsi="Arial" w:cs="Arial" w:eastAsia="Arial"/>
      <w:b/>
      <w:bCs/>
      <w:sz w:val="26"/>
      <w:szCs w:val="26"/>
    </w:rPr>
  </w:style>
  <w:style w:type="character" w:styleId="730" w:customStyle="1">
    <w:name w:val="Заголовок 5 Знак"/>
    <w:basedOn w:val="706"/>
    <w:qFormat/>
    <w:uiPriority w:val="9"/>
    <w:rPr>
      <w:rFonts w:ascii="Arial" w:hAnsi="Arial" w:cs="Arial" w:eastAsia="Arial"/>
      <w:b/>
      <w:bCs/>
      <w:sz w:val="24"/>
      <w:szCs w:val="24"/>
    </w:rPr>
  </w:style>
  <w:style w:type="character" w:styleId="731" w:customStyle="1">
    <w:name w:val="Заголовок 6 Знак"/>
    <w:basedOn w:val="706"/>
    <w:qFormat/>
    <w:uiPriority w:val="9"/>
    <w:rPr>
      <w:rFonts w:ascii="Arial" w:hAnsi="Arial" w:cs="Arial" w:eastAsia="Arial"/>
      <w:b/>
      <w:bCs/>
      <w:sz w:val="22"/>
      <w:szCs w:val="22"/>
    </w:rPr>
  </w:style>
  <w:style w:type="character" w:styleId="732" w:customStyle="1">
    <w:name w:val="Заголовок 7 Знак"/>
    <w:basedOn w:val="706"/>
    <w:qFormat/>
    <w:uiPriority w:val="9"/>
    <w:rPr>
      <w:rFonts w:ascii="Arial" w:hAnsi="Arial" w:cs="Arial" w:eastAsia="Arial"/>
      <w:b/>
      <w:bCs/>
      <w:i/>
      <w:iCs/>
      <w:sz w:val="22"/>
      <w:szCs w:val="22"/>
    </w:rPr>
  </w:style>
  <w:style w:type="character" w:styleId="733" w:customStyle="1">
    <w:name w:val="Заголовок 8 Знак"/>
    <w:basedOn w:val="706"/>
    <w:qFormat/>
    <w:uiPriority w:val="9"/>
    <w:rPr>
      <w:rFonts w:ascii="Arial" w:hAnsi="Arial" w:cs="Arial" w:eastAsia="Arial"/>
      <w:i/>
      <w:iCs/>
      <w:sz w:val="22"/>
      <w:szCs w:val="22"/>
    </w:rPr>
  </w:style>
  <w:style w:type="character" w:styleId="734" w:customStyle="1">
    <w:name w:val="Заголовок 9 Знак"/>
    <w:basedOn w:val="706"/>
    <w:qFormat/>
    <w:uiPriority w:val="9"/>
    <w:rPr>
      <w:rFonts w:ascii="Arial" w:hAnsi="Arial" w:cs="Arial" w:eastAsia="Arial"/>
      <w:i/>
      <w:iCs/>
      <w:sz w:val="21"/>
      <w:szCs w:val="21"/>
    </w:rPr>
  </w:style>
  <w:style w:type="character" w:styleId="735" w:customStyle="1">
    <w:name w:val="Заголовок Знак"/>
    <w:basedOn w:val="706"/>
    <w:qFormat/>
    <w:uiPriority w:val="10"/>
    <w:rPr>
      <w:sz w:val="48"/>
      <w:szCs w:val="48"/>
    </w:rPr>
  </w:style>
  <w:style w:type="character" w:styleId="736" w:customStyle="1">
    <w:name w:val="Подзаголовок Знак"/>
    <w:basedOn w:val="706"/>
    <w:qFormat/>
    <w:uiPriority w:val="11"/>
    <w:rPr>
      <w:sz w:val="24"/>
      <w:szCs w:val="24"/>
    </w:rPr>
  </w:style>
  <w:style w:type="character" w:styleId="737" w:customStyle="1">
    <w:name w:val="Цитата 2 Знак"/>
    <w:qFormat/>
    <w:uiPriority w:val="29"/>
    <w:rPr>
      <w:i/>
    </w:rPr>
  </w:style>
  <w:style w:type="character" w:styleId="738" w:customStyle="1">
    <w:name w:val="Выделенная цитата Знак"/>
    <w:qFormat/>
    <w:uiPriority w:val="30"/>
    <w:rPr>
      <w:i/>
    </w:rPr>
  </w:style>
  <w:style w:type="character" w:styleId="739" w:customStyle="1">
    <w:name w:val="Верхний колонтитул Знак"/>
    <w:basedOn w:val="706"/>
    <w:qFormat/>
    <w:uiPriority w:val="99"/>
  </w:style>
  <w:style w:type="character" w:styleId="740" w:customStyle="1">
    <w:name w:val="Нижний колонтитул Знак"/>
    <w:basedOn w:val="706"/>
    <w:qFormat/>
    <w:uiPriority w:val="99"/>
  </w:style>
  <w:style w:type="character" w:styleId="741" w:customStyle="1">
    <w:name w:val="Текст сноски Знак"/>
    <w:qFormat/>
    <w:uiPriority w:val="99"/>
    <w:rPr>
      <w:sz w:val="18"/>
    </w:rPr>
  </w:style>
  <w:style w:type="character" w:styleId="742" w:customStyle="1">
    <w:name w:val="c4"/>
    <w:qFormat/>
  </w:style>
  <w:style w:type="character" w:styleId="743">
    <w:name w:val="Символ сноски"/>
    <w:qFormat/>
  </w:style>
  <w:style w:type="character" w:styleId="744">
    <w:name w:val="Символ концевой сноски"/>
    <w:qFormat/>
  </w:style>
  <w:style w:type="paragraph" w:styleId="745">
    <w:name w:val="Заголовок"/>
    <w:basedOn w:val="691"/>
    <w:next w:val="746"/>
    <w:qFormat/>
    <w:rPr>
      <w:rFonts w:ascii="Liberation Sans" w:hAnsi="Liberation Sans" w:cs="Lohit Devanagari" w:eastAsia="Noto Sans CJK SC"/>
      <w:sz w:val="28"/>
      <w:szCs w:val="28"/>
    </w:rPr>
    <w:pPr>
      <w:keepNext/>
      <w:spacing w:after="120" w:before="240"/>
    </w:pPr>
  </w:style>
  <w:style w:type="paragraph" w:styleId="746">
    <w:name w:val="Body Text"/>
    <w:basedOn w:val="691"/>
    <w:pPr>
      <w:spacing w:lineRule="auto" w:line="276" w:after="140" w:before="0"/>
    </w:pPr>
  </w:style>
  <w:style w:type="paragraph" w:styleId="747">
    <w:name w:val="List"/>
    <w:basedOn w:val="746"/>
    <w:rPr>
      <w:rFonts w:cs="Lohit Devanagari"/>
    </w:rPr>
  </w:style>
  <w:style w:type="paragraph" w:styleId="748">
    <w:name w:val="Caption"/>
    <w:basedOn w:val="691"/>
    <w:next w:val="691"/>
    <w:qFormat/>
    <w:uiPriority w:val="35"/>
    <w:semiHidden/>
    <w:unhideWhenUsed/>
    <w:rPr>
      <w:b/>
      <w:bCs/>
      <w:color w:val="4472C4" w:themeColor="accent1"/>
      <w:sz w:val="18"/>
      <w:szCs w:val="18"/>
    </w:rPr>
    <w:pPr>
      <w:spacing w:lineRule="auto" w:line="276"/>
    </w:pPr>
  </w:style>
  <w:style w:type="paragraph" w:styleId="749">
    <w:name w:val="Указатель"/>
    <w:basedOn w:val="691"/>
    <w:qFormat/>
    <w:rPr>
      <w:rFonts w:cs="Lohit Devanagari"/>
    </w:rPr>
    <w:pPr>
      <w:suppressLineNumbers/>
    </w:pPr>
  </w:style>
  <w:style w:type="paragraph" w:styleId="750">
    <w:name w:val="table of figures"/>
    <w:basedOn w:val="691"/>
    <w:next w:val="691"/>
    <w:qFormat/>
    <w:uiPriority w:val="99"/>
    <w:unhideWhenUsed/>
    <w:pPr>
      <w:spacing w:after="0" w:afterAutospacing="0" w:before="0"/>
    </w:pPr>
  </w:style>
  <w:style w:type="paragraph" w:styleId="751">
    <w:name w:val="endnote text"/>
    <w:basedOn w:val="691"/>
    <w:uiPriority w:val="99"/>
    <w:semiHidden/>
    <w:unhideWhenUsed/>
    <w:rPr>
      <w:sz w:val="20"/>
    </w:rPr>
    <w:pPr>
      <w:spacing w:lineRule="auto" w:line="240" w:after="0" w:before="0"/>
    </w:pPr>
  </w:style>
  <w:style w:type="paragraph" w:styleId="752">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753">
    <w:name w:val="Title"/>
    <w:basedOn w:val="691"/>
    <w:next w:val="691"/>
    <w:qFormat/>
    <w:uiPriority w:val="10"/>
    <w:rPr>
      <w:sz w:val="48"/>
      <w:szCs w:val="48"/>
    </w:rPr>
    <w:pPr>
      <w:contextualSpacing w:val="true"/>
      <w:spacing w:after="200" w:before="300"/>
    </w:pPr>
  </w:style>
  <w:style w:type="paragraph" w:styleId="754">
    <w:name w:val="Subtitle"/>
    <w:basedOn w:val="691"/>
    <w:next w:val="691"/>
    <w:qFormat/>
    <w:uiPriority w:val="11"/>
    <w:rPr>
      <w:sz w:val="24"/>
      <w:szCs w:val="24"/>
    </w:rPr>
    <w:pPr>
      <w:spacing w:after="200" w:before="200"/>
    </w:pPr>
  </w:style>
  <w:style w:type="paragraph" w:styleId="755">
    <w:name w:val="Quote"/>
    <w:basedOn w:val="691"/>
    <w:next w:val="691"/>
    <w:qFormat/>
    <w:uiPriority w:val="29"/>
    <w:rPr>
      <w:i/>
    </w:rPr>
    <w:pPr>
      <w:ind w:left="720" w:right="720" w:firstLine="0"/>
    </w:pPr>
  </w:style>
  <w:style w:type="paragraph" w:styleId="756">
    <w:name w:val="Intense Quote"/>
    <w:basedOn w:val="691"/>
    <w:next w:val="691"/>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757">
    <w:name w:val="Колонтитул"/>
    <w:basedOn w:val="691"/>
    <w:qFormat/>
  </w:style>
  <w:style w:type="paragraph" w:styleId="758">
    <w:name w:val="Header"/>
    <w:basedOn w:val="691"/>
    <w:uiPriority w:val="99"/>
    <w:unhideWhenUsed/>
    <w:pPr>
      <w:spacing w:lineRule="auto" w:line="240" w:after="0" w:before="0"/>
      <w:tabs>
        <w:tab w:val="clear" w:pos="708" w:leader="none"/>
        <w:tab w:val="center" w:pos="7143" w:leader="none"/>
        <w:tab w:val="right" w:pos="14287" w:leader="none"/>
      </w:tabs>
    </w:pPr>
  </w:style>
  <w:style w:type="paragraph" w:styleId="759">
    <w:name w:val="Footer"/>
    <w:basedOn w:val="691"/>
    <w:uiPriority w:val="99"/>
    <w:unhideWhenUsed/>
    <w:pPr>
      <w:spacing w:lineRule="auto" w:line="240" w:after="0" w:before="0"/>
      <w:tabs>
        <w:tab w:val="clear" w:pos="708" w:leader="none"/>
        <w:tab w:val="center" w:pos="7143" w:leader="none"/>
        <w:tab w:val="right" w:pos="14287" w:leader="none"/>
      </w:tabs>
    </w:pPr>
  </w:style>
  <w:style w:type="paragraph" w:styleId="760">
    <w:name w:val="footnote text"/>
    <w:basedOn w:val="691"/>
    <w:uiPriority w:val="99"/>
    <w:semiHidden/>
    <w:unhideWhenUsed/>
    <w:rPr>
      <w:sz w:val="18"/>
    </w:rPr>
    <w:pPr>
      <w:spacing w:lineRule="auto" w:line="240" w:after="40" w:before="0"/>
    </w:pPr>
  </w:style>
  <w:style w:type="paragraph" w:styleId="761">
    <w:name w:val="toc 1"/>
    <w:basedOn w:val="691"/>
    <w:next w:val="691"/>
    <w:uiPriority w:val="39"/>
    <w:unhideWhenUsed/>
    <w:pPr>
      <w:spacing w:after="57" w:before="0"/>
    </w:pPr>
  </w:style>
  <w:style w:type="paragraph" w:styleId="762">
    <w:name w:val="toc 2"/>
    <w:basedOn w:val="691"/>
    <w:next w:val="691"/>
    <w:uiPriority w:val="39"/>
    <w:unhideWhenUsed/>
    <w:pPr>
      <w:ind w:left="283" w:firstLine="0"/>
      <w:spacing w:after="57" w:before="0"/>
    </w:pPr>
  </w:style>
  <w:style w:type="paragraph" w:styleId="763">
    <w:name w:val="toc 3"/>
    <w:basedOn w:val="691"/>
    <w:next w:val="691"/>
    <w:uiPriority w:val="39"/>
    <w:unhideWhenUsed/>
    <w:pPr>
      <w:ind w:left="567" w:firstLine="0"/>
      <w:spacing w:after="57" w:before="0"/>
    </w:pPr>
  </w:style>
  <w:style w:type="paragraph" w:styleId="764">
    <w:name w:val="toc 4"/>
    <w:basedOn w:val="691"/>
    <w:next w:val="691"/>
    <w:uiPriority w:val="39"/>
    <w:unhideWhenUsed/>
    <w:pPr>
      <w:ind w:left="850" w:firstLine="0"/>
      <w:spacing w:after="57" w:before="0"/>
    </w:pPr>
  </w:style>
  <w:style w:type="paragraph" w:styleId="765">
    <w:name w:val="toc 5"/>
    <w:basedOn w:val="691"/>
    <w:next w:val="691"/>
    <w:uiPriority w:val="39"/>
    <w:unhideWhenUsed/>
    <w:pPr>
      <w:ind w:left="1134" w:firstLine="0"/>
      <w:spacing w:after="57" w:before="0"/>
    </w:pPr>
  </w:style>
  <w:style w:type="paragraph" w:styleId="766">
    <w:name w:val="toc 6"/>
    <w:basedOn w:val="691"/>
    <w:next w:val="691"/>
    <w:uiPriority w:val="39"/>
    <w:unhideWhenUsed/>
    <w:pPr>
      <w:ind w:left="1417" w:firstLine="0"/>
      <w:spacing w:after="57" w:before="0"/>
    </w:pPr>
  </w:style>
  <w:style w:type="paragraph" w:styleId="767">
    <w:name w:val="toc 7"/>
    <w:basedOn w:val="691"/>
    <w:next w:val="691"/>
    <w:uiPriority w:val="39"/>
    <w:unhideWhenUsed/>
    <w:pPr>
      <w:ind w:left="1701" w:firstLine="0"/>
      <w:spacing w:after="57" w:before="0"/>
    </w:pPr>
  </w:style>
  <w:style w:type="paragraph" w:styleId="768">
    <w:name w:val="toc 8"/>
    <w:basedOn w:val="691"/>
    <w:next w:val="691"/>
    <w:uiPriority w:val="39"/>
    <w:unhideWhenUsed/>
    <w:pPr>
      <w:ind w:left="1984" w:firstLine="0"/>
      <w:spacing w:after="57" w:before="0"/>
    </w:pPr>
  </w:style>
  <w:style w:type="paragraph" w:styleId="769">
    <w:name w:val="toc 9"/>
    <w:basedOn w:val="691"/>
    <w:next w:val="691"/>
    <w:uiPriority w:val="39"/>
    <w:unhideWhenUsed/>
    <w:pPr>
      <w:ind w:left="2268" w:firstLine="0"/>
      <w:spacing w:after="57" w:before="0"/>
    </w:pPr>
  </w:style>
  <w:style w:type="paragraph" w:styleId="770">
    <w:name w:val="Index Heading"/>
    <w:basedOn w:val="745"/>
  </w:style>
  <w:style w:type="paragraph" w:styleId="771">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772">
    <w:name w:val="List Paragraph"/>
    <w:basedOn w:val="691"/>
    <w:qFormat/>
    <w:uiPriority w:val="34"/>
    <w:pPr>
      <w:contextualSpacing w:val="true"/>
      <w:ind w:left="720" w:firstLine="0"/>
      <w:spacing w:after="160" w:before="0"/>
    </w:pPr>
  </w:style>
  <w:style w:type="paragraph" w:styleId="773"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774" w:default="1">
    <w:name w:val="No List"/>
    <w:qFormat/>
    <w:uiPriority w:val="99"/>
    <w:semiHidden/>
    <w:unhideWhenUsed/>
  </w:style>
  <w:style w:type="table" w:styleId="775" w:default="1">
    <w:name w:val="Normal Table"/>
    <w:uiPriority w:val="99"/>
    <w:semiHidden/>
    <w:unhideWhenUsed/>
    <w:tblPr>
      <w:tblCellMar>
        <w:left w:w="108" w:type="dxa"/>
        <w:top w:w="0" w:type="dxa"/>
        <w:right w:w="108" w:type="dxa"/>
        <w:bottom w:w="0" w:type="dxa"/>
      </w:tblCellMar>
    </w:tblPr>
  </w:style>
  <w:style w:type="table" w:styleId="776">
    <w:name w:val="Table Grid"/>
    <w:basedOn w:val="775"/>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77" w:customStyle="1">
    <w:name w:val="Table Grid Light"/>
    <w:basedOn w:val="77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778">
    <w:name w:val="Plain Table 1"/>
    <w:basedOn w:val="775"/>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779">
    <w:name w:val="Plain Table 2"/>
    <w:basedOn w:val="775"/>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780">
    <w:name w:val="Plain Table 3"/>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81">
    <w:name w:val="Plain Table 4"/>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2">
    <w:name w:val="Plain Table 5"/>
    <w:basedOn w:val="775"/>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83">
    <w:name w:val="Grid Table 1 Light"/>
    <w:basedOn w:val="775"/>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784" w:customStyle="1">
    <w:name w:val="Grid Table 1 Light - Accent 1"/>
    <w:basedOn w:val="77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785" w:customStyle="1">
    <w:name w:val="Grid Table 1 Light - Accent 2"/>
    <w:basedOn w:val="77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786" w:customStyle="1">
    <w:name w:val="Grid Table 1 Light - Accent 3"/>
    <w:basedOn w:val="77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787" w:customStyle="1">
    <w:name w:val="Grid Table 1 Light - Accent 4"/>
    <w:basedOn w:val="77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788" w:customStyle="1">
    <w:name w:val="Grid Table 1 Light - Accent 5"/>
    <w:basedOn w:val="77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789" w:customStyle="1">
    <w:name w:val="Grid Table 1 Light - Accent 6"/>
    <w:basedOn w:val="77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790">
    <w:name w:val="Grid Table 2"/>
    <w:basedOn w:val="77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791" w:customStyle="1">
    <w:name w:val="Grid Table 2 - Accent 1"/>
    <w:basedOn w:val="77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792" w:customStyle="1">
    <w:name w:val="Grid Table 2 - Accent 2"/>
    <w:basedOn w:val="77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793" w:customStyle="1">
    <w:name w:val="Grid Table 2 - Accent 3"/>
    <w:basedOn w:val="77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794" w:customStyle="1">
    <w:name w:val="Grid Table 2 - Accent 4"/>
    <w:basedOn w:val="77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795" w:customStyle="1">
    <w:name w:val="Grid Table 2 - Accent 5"/>
    <w:basedOn w:val="77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796" w:customStyle="1">
    <w:name w:val="Grid Table 2 - Accent 6"/>
    <w:basedOn w:val="77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797">
    <w:name w:val="Grid Table 3"/>
    <w:basedOn w:val="775"/>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98" w:customStyle="1">
    <w:name w:val="Grid Table 3 - Accent 1"/>
    <w:basedOn w:val="775"/>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99" w:customStyle="1">
    <w:name w:val="Grid Table 3 - Accent 2"/>
    <w:basedOn w:val="775"/>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0" w:customStyle="1">
    <w:name w:val="Grid Table 3 - Accent 3"/>
    <w:basedOn w:val="775"/>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1" w:customStyle="1">
    <w:name w:val="Grid Table 3 - Accent 4"/>
    <w:basedOn w:val="775"/>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2" w:customStyle="1">
    <w:name w:val="Grid Table 3 - Accent 5"/>
    <w:basedOn w:val="775"/>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3" w:customStyle="1">
    <w:name w:val="Grid Table 3 - Accent 6"/>
    <w:basedOn w:val="775"/>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04">
    <w:name w:val="Grid Table 4"/>
    <w:basedOn w:val="775"/>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5" w:customStyle="1">
    <w:name w:val="Grid Table 4 - Accent 1"/>
    <w:basedOn w:val="775"/>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806" w:customStyle="1">
    <w:name w:val="Grid Table 4 - Accent 2"/>
    <w:basedOn w:val="775"/>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807" w:customStyle="1">
    <w:name w:val="Grid Table 4 - Accent 3"/>
    <w:basedOn w:val="775"/>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808" w:customStyle="1">
    <w:name w:val="Grid Table 4 - Accent 4"/>
    <w:basedOn w:val="775"/>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809" w:customStyle="1">
    <w:name w:val="Grid Table 4 - Accent 5"/>
    <w:basedOn w:val="775"/>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810" w:customStyle="1">
    <w:name w:val="Grid Table 4 - Accent 6"/>
    <w:basedOn w:val="775"/>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811">
    <w:name w:val="Grid Table 5 Dark"/>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812" w:customStyle="1">
    <w:name w:val="Grid Table 5 Dark- Accent 1"/>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813" w:customStyle="1">
    <w:name w:val="Grid Table 5 Dark - Accent 2"/>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814" w:customStyle="1">
    <w:name w:val="Grid Table 5 Dark - Accent 3"/>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815" w:customStyle="1">
    <w:name w:val="Grid Table 5 Dark- Accent 4"/>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816" w:customStyle="1">
    <w:name w:val="Grid Table 5 Dark - Accent 5"/>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817" w:customStyle="1">
    <w:name w:val="Grid Table 5 Dark - Accent 6"/>
    <w:basedOn w:val="775"/>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818">
    <w:name w:val="Grid Table 6 Colorful"/>
    <w:basedOn w:val="775"/>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9" w:customStyle="1">
    <w:name w:val="Grid Table 6 Colorful - Accent 1"/>
    <w:basedOn w:val="775"/>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820" w:customStyle="1">
    <w:name w:val="Grid Table 6 Colorful - Accent 2"/>
    <w:basedOn w:val="77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21" w:customStyle="1">
    <w:name w:val="Grid Table 6 Colorful - Accent 3"/>
    <w:basedOn w:val="775"/>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22" w:customStyle="1">
    <w:name w:val="Grid Table 6 Colorful - Accent 4"/>
    <w:basedOn w:val="77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23" w:customStyle="1">
    <w:name w:val="Grid Table 6 Colorful - Accent 5"/>
    <w:basedOn w:val="775"/>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824" w:customStyle="1">
    <w:name w:val="Grid Table 6 Colorful - Accent 6"/>
    <w:basedOn w:val="775"/>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825">
    <w:name w:val="Grid Table 7 Colorful"/>
    <w:basedOn w:val="775"/>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826" w:customStyle="1">
    <w:name w:val="Grid Table 7 Colorful - Accent 1"/>
    <w:basedOn w:val="775"/>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827" w:customStyle="1">
    <w:name w:val="Grid Table 7 Colorful - Accent 2"/>
    <w:basedOn w:val="775"/>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828" w:customStyle="1">
    <w:name w:val="Grid Table 7 Colorful - Accent 3"/>
    <w:basedOn w:val="775"/>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829" w:customStyle="1">
    <w:name w:val="Grid Table 7 Colorful - Accent 4"/>
    <w:basedOn w:val="775"/>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830" w:customStyle="1">
    <w:name w:val="Grid Table 7 Colorful - Accent 5"/>
    <w:basedOn w:val="775"/>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831" w:customStyle="1">
    <w:name w:val="Grid Table 7 Colorful - Accent 6"/>
    <w:basedOn w:val="775"/>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832">
    <w:name w:val="List Table 1 Light"/>
    <w:basedOn w:val="775"/>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33" w:customStyle="1">
    <w:name w:val="List Table 1 Light - Accent 1"/>
    <w:basedOn w:val="775"/>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834" w:customStyle="1">
    <w:name w:val="List Table 1 Light - Accent 2"/>
    <w:basedOn w:val="775"/>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835" w:customStyle="1">
    <w:name w:val="List Table 1 Light - Accent 3"/>
    <w:basedOn w:val="775"/>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836" w:customStyle="1">
    <w:name w:val="List Table 1 Light - Accent 4"/>
    <w:basedOn w:val="775"/>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837" w:customStyle="1">
    <w:name w:val="List Table 1 Light - Accent 5"/>
    <w:basedOn w:val="775"/>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838" w:customStyle="1">
    <w:name w:val="List Table 1 Light - Accent 6"/>
    <w:basedOn w:val="775"/>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839">
    <w:name w:val="List Table 2"/>
    <w:basedOn w:val="775"/>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840" w:customStyle="1">
    <w:name w:val="List Table 2 - Accent 1"/>
    <w:basedOn w:val="775"/>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841" w:customStyle="1">
    <w:name w:val="List Table 2 - Accent 2"/>
    <w:basedOn w:val="775"/>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842" w:customStyle="1">
    <w:name w:val="List Table 2 - Accent 3"/>
    <w:basedOn w:val="775"/>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843" w:customStyle="1">
    <w:name w:val="List Table 2 - Accent 4"/>
    <w:basedOn w:val="775"/>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844" w:customStyle="1">
    <w:name w:val="List Table 2 - Accent 5"/>
    <w:basedOn w:val="775"/>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845" w:customStyle="1">
    <w:name w:val="List Table 2 - Accent 6"/>
    <w:basedOn w:val="775"/>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846">
    <w:name w:val="List Table 3"/>
    <w:basedOn w:val="77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847" w:customStyle="1">
    <w:name w:val="List Table 3 - Accent 1"/>
    <w:basedOn w:val="775"/>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848" w:customStyle="1">
    <w:name w:val="List Table 3 - Accent 2"/>
    <w:basedOn w:val="775"/>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849" w:customStyle="1">
    <w:name w:val="List Table 3 - Accent 3"/>
    <w:basedOn w:val="775"/>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850" w:customStyle="1">
    <w:name w:val="List Table 3 - Accent 4"/>
    <w:basedOn w:val="775"/>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851" w:customStyle="1">
    <w:name w:val="List Table 3 - Accent 5"/>
    <w:basedOn w:val="775"/>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852" w:customStyle="1">
    <w:name w:val="List Table 3 - Accent 6"/>
    <w:basedOn w:val="775"/>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853">
    <w:name w:val="List Table 4"/>
    <w:basedOn w:val="775"/>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854" w:customStyle="1">
    <w:name w:val="List Table 4 - Accent 1"/>
    <w:basedOn w:val="775"/>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855" w:customStyle="1">
    <w:name w:val="List Table 4 - Accent 2"/>
    <w:basedOn w:val="775"/>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856" w:customStyle="1">
    <w:name w:val="List Table 4 - Accent 3"/>
    <w:basedOn w:val="775"/>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857" w:customStyle="1">
    <w:name w:val="List Table 4 - Accent 4"/>
    <w:basedOn w:val="775"/>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858" w:customStyle="1">
    <w:name w:val="List Table 4 - Accent 5"/>
    <w:basedOn w:val="775"/>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859" w:customStyle="1">
    <w:name w:val="List Table 4 - Accent 6"/>
    <w:basedOn w:val="775"/>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860">
    <w:name w:val="List Table 5 Dark"/>
    <w:basedOn w:val="775"/>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861" w:customStyle="1">
    <w:name w:val="List Table 5 Dark - Accent 1"/>
    <w:basedOn w:val="775"/>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862" w:customStyle="1">
    <w:name w:val="List Table 5 Dark - Accent 2"/>
    <w:basedOn w:val="775"/>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863" w:customStyle="1">
    <w:name w:val="List Table 5 Dark - Accent 3"/>
    <w:basedOn w:val="775"/>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864" w:customStyle="1">
    <w:name w:val="List Table 5 Dark - Accent 4"/>
    <w:basedOn w:val="775"/>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865" w:customStyle="1">
    <w:name w:val="List Table 5 Dark - Accent 5"/>
    <w:basedOn w:val="775"/>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866" w:customStyle="1">
    <w:name w:val="List Table 5 Dark - Accent 6"/>
    <w:basedOn w:val="775"/>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867">
    <w:name w:val="List Table 6 Colorful"/>
    <w:basedOn w:val="775"/>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868" w:customStyle="1">
    <w:name w:val="List Table 6 Colorful - Accent 1"/>
    <w:basedOn w:val="775"/>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869" w:customStyle="1">
    <w:name w:val="List Table 6 Colorful - Accent 2"/>
    <w:basedOn w:val="775"/>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870" w:customStyle="1">
    <w:name w:val="List Table 6 Colorful - Accent 3"/>
    <w:basedOn w:val="775"/>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871" w:customStyle="1">
    <w:name w:val="List Table 6 Colorful - Accent 4"/>
    <w:basedOn w:val="775"/>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872" w:customStyle="1">
    <w:name w:val="List Table 6 Colorful - Accent 5"/>
    <w:basedOn w:val="775"/>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873" w:customStyle="1">
    <w:name w:val="List Table 6 Colorful - Accent 6"/>
    <w:basedOn w:val="775"/>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874">
    <w:name w:val="List Table 7 Colorful"/>
    <w:basedOn w:val="775"/>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875" w:customStyle="1">
    <w:name w:val="List Table 7 Colorful - Accent 1"/>
    <w:basedOn w:val="775"/>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876" w:customStyle="1">
    <w:name w:val="List Table 7 Colorful - Accent 2"/>
    <w:basedOn w:val="775"/>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877" w:customStyle="1">
    <w:name w:val="List Table 7 Colorful - Accent 3"/>
    <w:basedOn w:val="775"/>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878" w:customStyle="1">
    <w:name w:val="List Table 7 Colorful - Accent 4"/>
    <w:basedOn w:val="775"/>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879" w:customStyle="1">
    <w:name w:val="List Table 7 Colorful - Accent 5"/>
    <w:basedOn w:val="775"/>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880" w:customStyle="1">
    <w:name w:val="List Table 7 Colorful - Accent 6"/>
    <w:basedOn w:val="775"/>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881" w:customStyle="1">
    <w:name w:val="Lined - Accent"/>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882" w:customStyle="1">
    <w:name w:val="Lined - Accent 1"/>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883" w:customStyle="1">
    <w:name w:val="Lined - Accent 2"/>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884" w:customStyle="1">
    <w:name w:val="Lined - Accent 3"/>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885" w:customStyle="1">
    <w:name w:val="Lined - Accent 4"/>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886" w:customStyle="1">
    <w:name w:val="Lined - Accent 5"/>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887" w:customStyle="1">
    <w:name w:val="Lined - Accent 6"/>
    <w:basedOn w:val="775"/>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888" w:customStyle="1">
    <w:name w:val="Bordered &amp; Lined - Accent"/>
    <w:basedOn w:val="775"/>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889" w:customStyle="1">
    <w:name w:val="Bordered &amp; Lined - Accent 1"/>
    <w:basedOn w:val="775"/>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890" w:customStyle="1">
    <w:name w:val="Bordered &amp; Lined - Accent 2"/>
    <w:basedOn w:val="775"/>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891" w:customStyle="1">
    <w:name w:val="Bordered &amp; Lined - Accent 3"/>
    <w:basedOn w:val="775"/>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892" w:customStyle="1">
    <w:name w:val="Bordered &amp; Lined - Accent 4"/>
    <w:basedOn w:val="775"/>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893" w:customStyle="1">
    <w:name w:val="Bordered &amp; Lined - Accent 5"/>
    <w:basedOn w:val="775"/>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894" w:customStyle="1">
    <w:name w:val="Bordered &amp; Lined - Accent 6"/>
    <w:basedOn w:val="775"/>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895" w:customStyle="1">
    <w:name w:val="Bordered"/>
    <w:basedOn w:val="775"/>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896" w:customStyle="1">
    <w:name w:val="Bordered - Accent 1"/>
    <w:basedOn w:val="775"/>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897" w:customStyle="1">
    <w:name w:val="Bordered - Accent 2"/>
    <w:basedOn w:val="775"/>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898" w:customStyle="1">
    <w:name w:val="Bordered - Accent 3"/>
    <w:basedOn w:val="775"/>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899" w:customStyle="1">
    <w:name w:val="Bordered - Accent 4"/>
    <w:basedOn w:val="775"/>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900" w:customStyle="1">
    <w:name w:val="Bordered - Accent 5"/>
    <w:basedOn w:val="775"/>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901" w:customStyle="1">
    <w:name w:val="Bordered - Accent 6"/>
    <w:basedOn w:val="775"/>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hyperlink" Target="https://bitcoin.org/files/bitcoin-paper/bitcoin_ru.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360</cp:revision>
  <dcterms:created xsi:type="dcterms:W3CDTF">2020-12-11T02:23:00Z</dcterms:created>
  <dcterms:modified xsi:type="dcterms:W3CDTF">2022-01-31T05:47:29Z</dcterms:modified>
</cp:coreProperties>
</file>