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24"/>
                <w:rFonts w:ascii="Times New Roman" w:hAnsi="Times New Roman" w:cs="Times New Roman"/>
                <w:sz w:val="24"/>
                <w:szCs w:val="24"/>
              </w:rPr>
              <w:t xml:space="preserve">2</w:t>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24"/>
                <w:rFonts w:ascii="Times New Roman" w:hAnsi="Times New Roman" w:cs="Times New Roman"/>
                <w:b w:val="0"/>
                <w:bCs w:val="0"/>
                <w:sz w:val="24"/>
                <w:szCs w:val="24"/>
              </w:rPr>
              <w:t xml:space="preserve">4</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24"/>
                <w:rFonts w:ascii="Times New Roman" w:hAnsi="Times New Roman" w:cs="Times New Roman"/>
                <w:b w:val="0"/>
                <w:bCs w:val="0"/>
                <w:sz w:val="24"/>
                <w:szCs w:val="24"/>
              </w:rPr>
              <w:t xml:space="preserve">6</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24"/>
                <w:rFonts w:ascii="Times New Roman" w:hAnsi="Times New Roman" w:cs="Times New Roman"/>
                <w:b w:val="0"/>
                <w:bCs w:val="0"/>
                <w:sz w:val="24"/>
                <w:szCs w:val="24"/>
              </w:rPr>
              <w:t xml:space="preserve">9</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24"/>
                <w:rFonts w:ascii="Times New Roman" w:hAnsi="Times New Roman" w:cs="Times New Roman"/>
                <w:b w:val="0"/>
                <w:bCs w:val="0"/>
                <w:sz w:val="24"/>
                <w:szCs w:val="24"/>
              </w:rPr>
              <w:t xml:space="preserve">11</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24"/>
                <w:rFonts w:ascii="Times New Roman" w:hAnsi="Times New Roman" w:cs="Times New Roman"/>
                <w:sz w:val="24"/>
                <w:szCs w:val="24"/>
              </w:rPr>
              <w:t xml:space="preserve">14</w:t>
            </w:r>
            <w:r>
              <w:rPr>
                <w:rFonts w:ascii="Times New Roman" w:hAnsi="Times New Roman" w:cs="Times New Roman"/>
                <w:sz w:val="24"/>
                <w:szCs w:val="24"/>
              </w:rPr>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24"/>
                <w:rFonts w:ascii="Times New Roman" w:hAnsi="Times New Roman" w:cs="Times New Roman"/>
                <w:b w:val="0"/>
                <w:bCs w:val="0"/>
                <w:sz w:val="24"/>
                <w:szCs w:val="24"/>
              </w:rPr>
              <w:t xml:space="preserve">14</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24"/>
                <w:rFonts w:ascii="Times New Roman" w:hAnsi="Times New Roman" w:cs="Times New Roman"/>
                <w:b w:val="0"/>
                <w:bCs w:val="0"/>
                <w:sz w:val="24"/>
                <w:szCs w:val="24"/>
              </w:rPr>
              <w:t xml:space="preserve">15</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24"/>
                <w:rFonts w:ascii="Times New Roman" w:hAnsi="Times New Roman" w:cs="Times New Roman"/>
                <w:b w:val="0"/>
                <w:bCs w:val="0"/>
                <w:sz w:val="24"/>
                <w:szCs w:val="24"/>
              </w:rPr>
              <w:t xml:space="preserve">20</w:t>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24"/>
                <w:rFonts w:ascii="Times New Roman" w:hAnsi="Times New Roman" w:cs="Times New Roman"/>
                <w:sz w:val="24"/>
                <w:szCs w:val="24"/>
              </w:rPr>
              <w:t xml:space="preserve">21</w:t>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24"/>
                <w:rFonts w:ascii="Times New Roman" w:hAnsi="Times New Roman" w:cs="Times New Roman"/>
                <w:b w:val="0"/>
                <w:bCs w:val="0"/>
                <w:sz w:val="24"/>
                <w:szCs w:val="24"/>
              </w:rPr>
              <w:t xml:space="preserve">22</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24"/>
                <w:rFonts w:ascii="Times New Roman" w:hAnsi="Times New Roman" w:cs="Times New Roman"/>
                <w:b w:val="0"/>
                <w:bCs w:val="0"/>
                <w:sz w:val="24"/>
                <w:szCs w:val="24"/>
              </w:rPr>
              <w:t xml:space="preserve">25</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24"/>
                <w:rFonts w:ascii="Times New Roman" w:hAnsi="Times New Roman" w:cs="Times New Roman"/>
                <w:b w:val="0"/>
                <w:bCs w:val="0"/>
                <w:sz w:val="24"/>
                <w:szCs w:val="24"/>
              </w:rPr>
              <w:t xml:space="preserve">26</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24"/>
                <w:rFonts w:ascii="Times New Roman" w:hAnsi="Times New Roman" w:cs="Times New Roman"/>
                <w:sz w:val="24"/>
                <w:szCs w:val="24"/>
              </w:rPr>
              <w:t xml:space="preserve">29</w:t>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24"/>
                <w:rFonts w:ascii="Times New Roman" w:hAnsi="Times New Roman" w:cs="Times New Roman"/>
                <w:b w:val="0"/>
                <w:bCs w:val="0"/>
                <w:sz w:val="24"/>
                <w:szCs w:val="24"/>
              </w:rPr>
              <w:t xml:space="preserve">29</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24"/>
                <w:rFonts w:ascii="Times New Roman" w:hAnsi="Times New Roman" w:cs="Times New Roman"/>
                <w:b w:val="0"/>
                <w:bCs w:val="0"/>
                <w:sz w:val="24"/>
                <w:szCs w:val="24"/>
              </w:rPr>
              <w:t xml:space="preserve">36</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24"/>
                <w:rFonts w:ascii="Times New Roman" w:hAnsi="Times New Roman" w:cs="Times New Roman"/>
                <w:b w:val="0"/>
                <w:bCs w:val="0"/>
                <w:sz w:val="24"/>
                <w:szCs w:val="24"/>
              </w:rPr>
              <w:t xml:space="preserve">40</w:t>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24"/>
                <w:rFonts w:ascii="Times New Roman" w:hAnsi="Times New Roman" w:cs="Times New Roman"/>
                <w:b w:val="0"/>
                <w:bCs w:val="0"/>
                <w:sz w:val="24"/>
                <w:szCs w:val="24"/>
              </w:rPr>
              <w:t xml:space="preserve">41</w:t>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24"/>
                <w:rFonts w:ascii="Times New Roman" w:hAnsi="Times New Roman" w:cs="Times New Roman"/>
                <w:b w:val="0"/>
                <w:bCs w:val="0"/>
                <w:sz w:val="24"/>
                <w:szCs w:val="24"/>
              </w:rPr>
              <w:t xml:space="preserve">47</w:t>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24"/>
                <w:rFonts w:ascii="Times New Roman" w:hAnsi="Times New Roman" w:cs="Times New Roman"/>
                <w:sz w:val="24"/>
                <w:szCs w:val="24"/>
              </w:rPr>
              <w:t xml:space="preserve">50</w:t>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24"/>
                <w:rFonts w:ascii="Times New Roman" w:hAnsi="Times New Roman" w:cs="Times New Roman"/>
                <w:b w:val="0"/>
                <w:bCs w:val="0"/>
                <w:sz w:val="24"/>
                <w:szCs w:val="24"/>
              </w:rPr>
              <w:t xml:space="preserve">50</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24"/>
                <w:rFonts w:ascii="Times New Roman" w:hAnsi="Times New Roman" w:cs="Times New Roman"/>
                <w:b w:val="0"/>
                <w:bCs w:val="0"/>
                <w:sz w:val="24"/>
                <w:szCs w:val="24"/>
              </w:rPr>
              <w:t xml:space="preserve">51</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24"/>
                <w:rFonts w:ascii="Times New Roman" w:hAnsi="Times New Roman" w:cs="Times New Roman"/>
                <w:b w:val="0"/>
                <w:bCs w:val="0"/>
                <w:sz w:val="24"/>
                <w:szCs w:val="24"/>
              </w:rPr>
              <w:t xml:space="preserve">52</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24"/>
                <w:rFonts w:ascii="Times New Roman" w:hAnsi="Times New Roman" w:cs="Times New Roman"/>
                <w:b w:val="0"/>
                <w:bCs w:val="0"/>
                <w:sz w:val="24"/>
                <w:szCs w:val="24"/>
              </w:rPr>
              <w:t xml:space="preserve">55</w:t>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r>
        <w:rPr>
          <w:highlight w:val="none"/>
        </w:rPr>
      </w:r>
      <w:r>
        <w:rPr>
          <w:highlight w:val="none"/>
        </w:rPr>
      </w: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6565" name="" hidden="0"/>
                        <pic:cNvPicPr>
                          <a:picLocks noChangeAspect="1"/>
                        </pic:cNvPicPr>
                        <pic:nvPr isPhoto="0" userDrawn="0"/>
                      </pic:nvPicPr>
                      <pic:blipFill>
                        <a:blip r:embed="rId34"/>
                        <a:stretch/>
                      </pic:blipFill>
                      <pic:spPr bwMode="auto">
                        <a:xfrm flipH="0" flipV="0">
                          <a:off x="0" y="0"/>
                          <a:ext cx="4642407" cy="2531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
    </w:p>
    <w:p>
      <w:pPr>
        <w:ind w:left="283" w:right="283" w:firstLine="567"/>
        <w:jc w:val="both"/>
        <w:spacing w:before="0" w:after="0"/>
      </w:pPr>
      <w:r>
        <w:rPr>
          <w:rFonts w:ascii="Times New Roman" w:hAnsi="Times New Roman" w:eastAsia="Times New Roman" w:cs="Times New Roman"/>
          <w:sz w:val="24"/>
          <w:highlight w:val="none"/>
        </w:rPr>
      </w: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
    </w:p>
    <w:p>
      <w:pPr>
        <w:ind w:left="0" w:right="283" w:firstLine="0"/>
        <w:jc w:val="both"/>
        <w:spacing w:before="0" w:after="0"/>
        <w:rPr>
          <w:rFonts w:ascii="Times New Roman" w:hAnsi="Times New Roman" w:eastAsia="Times New Roman" w:cs="Times New Roman"/>
          <w:sz w:val="24"/>
          <w:szCs w:val="24"/>
          <w:highlight w:val="none"/>
        </w:rPr>
      </w:pP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Style w:val="1908"/>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Style w:val="1825"/>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0"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647</cp:revision>
  <dcterms:created xsi:type="dcterms:W3CDTF">2020-12-11T02:23:00Z</dcterms:created>
  <dcterms:modified xsi:type="dcterms:W3CDTF">2023-06-12T02:45:00Z</dcterms:modified>
</cp:coreProperties>
</file>