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29,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9"/>
              </w:rPr>
            </w:r>
            <w:r>
              <w:rPr>
                <w:rStyle w:val="2339"/>
                <w:rFonts w:ascii="Times New Roman" w:hAnsi="Times New Roman" w:eastAsia="Times New Roman" w:cs="Times New Roman"/>
                <w:b/>
                <w:bCs/>
                <w:sz w:val="24"/>
                <w:szCs w:val="24"/>
                <w:highlight w:val="none"/>
                <w:lang w:val="ru-RU"/>
              </w:rPr>
              <w:t xml:space="preserve">1. </w:t>
            </w:r>
            <w:r>
              <w:rPr>
                <w:rStyle w:val="2339"/>
                <w:rFonts w:ascii="Times New Roman" w:hAnsi="Times New Roman" w:eastAsia="Times New Roman" w:cs="Times New Roman"/>
                <w:b/>
                <w:bCs/>
                <w:sz w:val="24"/>
                <w:szCs w:val="24"/>
                <w:lang w:val="ru-RU"/>
              </w:rPr>
              <w:t xml:space="preserve">В</w:t>
            </w:r>
            <w:r>
              <w:rPr>
                <w:rStyle w:val="2339"/>
                <w:rFonts w:ascii="Times New Roman" w:hAnsi="Times New Roman" w:eastAsia="Times New Roman" w:cs="Times New Roman"/>
                <w:b/>
                <w:bCs/>
                <w:sz w:val="24"/>
                <w:szCs w:val="24"/>
                <w:lang w:val="ru-RU"/>
              </w:rPr>
              <w:t xml:space="preserve">вед</w:t>
            </w:r>
            <w:r>
              <w:rPr>
                <w:rStyle w:val="2339"/>
                <w:rFonts w:ascii="Times New Roman" w:hAnsi="Times New Roman" w:eastAsia="Times New Roman" w:cs="Times New Roman"/>
                <w:b/>
                <w:bCs/>
                <w:sz w:val="24"/>
                <w:szCs w:val="24"/>
                <w:lang w:val="ru-RU"/>
              </w:rPr>
              <w:t xml:space="preserve">ение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highlight w:val="none"/>
                <w:lang w:val="ru-RU"/>
              </w:rPr>
              <w:t xml:space="preserve">2. QB-задача</w:t>
            </w:r>
            <w:r>
              <w:rPr>
                <w:rStyle w:val="23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2.1. </w:t>
            </w:r>
            <w:r>
              <w:rPr>
                <w:rStyle w:val="2339"/>
                <w:rFonts w:ascii="Times New Roman" w:hAnsi="Times New Roman" w:eastAsia="Times New Roman" w:cs="Times New Roman"/>
                <w:b w:val="0"/>
                <w:bCs w:val="0"/>
                <w:sz w:val="24"/>
                <w:szCs w:val="24"/>
                <w:lang w:val="ru-RU"/>
              </w:rPr>
              <w:t xml:space="preserve">Недостатки </w:t>
            </w:r>
            <w:r>
              <w:rPr>
                <w:rStyle w:val="2339"/>
                <w:rFonts w:ascii="Times New Roman" w:hAnsi="Times New Roman" w:eastAsia="Times New Roman" w:cs="Times New Roman"/>
                <w:b w:val="0"/>
                <w:bCs w:val="0"/>
                <w:sz w:val="24"/>
                <w:szCs w:val="24"/>
                <w:lang w:val="ru-RU"/>
              </w:rPr>
              <w:t xml:space="preserve">QB-сетей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2.2. Активные наблюдения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2.3. Сравнение с другими задачами</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3. Функция </w:t>
            </w:r>
            <w:r>
              <w:rPr>
                <w:rStyle w:val="2339"/>
                <w:rFonts w:ascii="Times New Roman" w:hAnsi="Times New Roman" w:eastAsia="Times New Roman" w:cs="Times New Roman"/>
                <w:b/>
                <w:sz w:val="24"/>
                <w:szCs w:val="24"/>
                <w:lang w:val="ru-RU"/>
              </w:rPr>
              <w:t xml:space="preserve">шифрования</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3.1. Первый этап шифрования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3.2. Второй этап шифрования</w:t>
            </w:r>
            <w:r>
              <w:rPr>
                <w:rStyle w:val="23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9"/>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4. Сетевое взаимодействие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4.1. </w:t>
            </w:r>
            <w:r>
              <w:rPr>
                <w:rStyle w:val="2339"/>
                <w:rFonts w:ascii="Times New Roman" w:hAnsi="Times New Roman" w:eastAsia="Times New Roman" w:cs="Times New Roman"/>
                <w:b w:val="0"/>
                <w:bCs w:val="0"/>
                <w:sz w:val="24"/>
                <w:szCs w:val="24"/>
                <w:lang w:val="ru-RU"/>
              </w:rPr>
              <w:t xml:space="preserve">Микросервисная архитектура</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4.2. С</w:t>
            </w:r>
            <w:r>
              <w:rPr>
                <w:rStyle w:val="2339"/>
                <w:rFonts w:ascii="Times New Roman" w:hAnsi="Times New Roman" w:eastAsia="Times New Roman" w:cs="Times New Roman"/>
                <w:b w:val="0"/>
                <w:bCs w:val="0"/>
                <w:sz w:val="24"/>
                <w:szCs w:val="24"/>
                <w:lang w:val="ru-RU"/>
              </w:rPr>
              <w:t xml:space="preserve">тек протоколов «GP/12»</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5. Программная реализация</w:t>
            </w:r>
            <w:r>
              <w:rPr>
                <w:rStyle w:val="23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9"/>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5.1. Структурные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9"/>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5.2. Конфигурационные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9"/>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6. Заключение</w:t>
            </w:r>
            <w:r>
              <w:rPr>
                <w:rStyle w:val="23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9"/>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6.1. Прикладное применение</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9"/>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9"/>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787</cp:revision>
  <dcterms:created xsi:type="dcterms:W3CDTF">2020-12-11T02:23:00Z</dcterms:created>
  <dcterms:modified xsi:type="dcterms:W3CDTF">2025-03-02T21:56:58Z</dcterms:modified>
</cp:coreProperties>
</file>