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w:t>
      </w:r>
      <w:r>
        <w:rPr>
          <w:rStyle w:val="2447"/>
          <w:rFonts w:ascii="Times New Roman" w:hAnsi="Times New Roman" w:eastAsia="Times New Roman" w:cs="Times New Roman"/>
          <w:sz w:val="24"/>
          <w:szCs w:val="24"/>
          <w:highlight w:val="none"/>
          <w:lang w:val="ru-RU"/>
        </w:rPr>
        <w:footnoteReference w:id="3"/>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21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eastAsia="Times New Roman" w:cs="Times New Roman"/>
          <w:sz w:val="22"/>
          <w:szCs w:val="22"/>
          <w:highlight w:val="none"/>
          <w:lang w:val="en-US"/>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Помимо базовых условий безопасности в лице неразличимости шифртекстов по используемым открытым текстам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ф</w:t>
      </w:r>
      <w:r>
        <w:rPr>
          <w:rFonts w:ascii="Times New Roman" w:hAnsi="Times New Roman" w:eastAsia="Times New Roman" w:cs="Times New Roman"/>
          <w:sz w:val="22"/>
          <w:szCs w:val="22"/>
          <w:highlight w:val="none"/>
          <w:lang w:val="ru-RU"/>
        </w:rPr>
        <w:t xml:space="preserve">ункция шифрования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должна также предоставлять гарантии неразличимости шифртекстов по используемым ключам 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Данный критерий наиболее важен при использовании асимметричных алгоритмов</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потому как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отсутствует гарантия неразличимости 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r>
    </w:p>
    <w:p>
      <w:pPr>
        <w:pStyle w:val="2518"/>
        <w:pBdr/>
        <w:spacing/>
        <w:ind w:right="343" w:firstLine="540" w:left="270"/>
        <w:jc w:val="both"/>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2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2025-06-12T07:31:43Z</dcterms:modified>
</cp:coreProperties>
</file>