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119972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fred-university-c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19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single" w:sz="8" w:space="6" w:color="B28B3C"/>
        </w:pBdr>
      </w:pPr>
      <w:r>
        <w:rPr>
          <w:b/>
          <w:color w:val="0B3D2E"/>
          <w:sz w:val="50"/>
        </w:rPr>
        <w:t>ALFRED UNIVERSITY</w:t>
      </w:r>
    </w:p>
    <w:p>
      <w:pPr>
        <w:jc w:val="center"/>
      </w:pPr>
      <w:r>
        <w:rPr>
          <w:b/>
          <w:color w:val="0B3D2E"/>
          <w:sz w:val="21"/>
        </w:rPr>
        <w:t>SCHOOL OF ENGINEERING AND APPLIED TECHNOLOGY</w:t>
      </w:r>
    </w:p>
    <w:p>
      <w:pPr>
        <w:jc w:val="center"/>
      </w:pPr>
      <w:r>
        <w:rPr>
          <w:i/>
          <w:color w:val="5B6660"/>
          <w:sz w:val="18"/>
        </w:rPr>
        <w:t>Department of Applied Electronics and Embedded Technology</w:t>
      </w:r>
    </w:p>
    <w:p>
      <w:pPr>
        <w:spacing w:before="280"/>
        <w:jc w:val="center"/>
      </w:pPr>
      <w:r>
        <w:rPr>
          <w:b/>
          <w:color w:val="0B3D2E"/>
          <w:sz w:val="46"/>
        </w:rPr>
        <w:t>Current Curriculum &amp; Instruction Governance Plan</w:t>
      </w:r>
    </w:p>
    <w:p>
      <w:pPr>
        <w:jc w:val="center"/>
      </w:pPr>
      <w:r>
        <w:rPr>
          <w:b/>
          <w:color w:val="B28B3C"/>
          <w:sz w:val="24"/>
        </w:rPr>
        <w:t>v16.3.64 operational authority over the accepted v16.3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240"/>
            <w:shd w:fill="EEF3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STUDENT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William A. Green IV</w:t>
            </w:r>
          </w:p>
        </w:tc>
      </w:tr>
      <w:tr>
        <w:tc>
          <w:tcPr>
            <w:tcW w:type="dxa" w:w="3240"/>
            <w:shd w:fill="EEF3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ACADEMIC YEAR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2026-2027 Academic Year</w:t>
            </w:r>
          </w:p>
        </w:tc>
      </w:tr>
      <w:tr>
        <w:tc>
          <w:tcPr>
            <w:tcW w:type="dxa" w:w="3240"/>
            <w:shd w:fill="EEF3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DOCUMENT ID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AU-OAA-ESET301-CURR-2026-64</w:t>
            </w:r>
          </w:p>
        </w:tc>
      </w:tr>
      <w:tr>
        <w:tc>
          <w:tcPr>
            <w:tcW w:type="dxa" w:w="3240"/>
            <w:shd w:fill="EEF3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REVISION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3.0 / v16.3.64</w:t>
            </w:r>
          </w:p>
        </w:tc>
      </w:tr>
      <w:tr>
        <w:tc>
          <w:tcPr>
            <w:tcW w:type="dxa" w:w="3240"/>
            <w:shd w:fill="EEF3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STATUS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 w:val="0"/>
                <w:color w:val="1F2B26"/>
                <w:sz w:val="17"/>
              </w:rPr>
              <w:t>Current Governing Document</w:t>
            </w:r>
          </w:p>
        </w:tc>
      </w:tr>
    </w:tbl>
    <w:p>
      <w:pPr>
        <w:spacing w:before="160"/>
        <w:jc w:val="center"/>
      </w:pPr>
      <w:r>
        <w:rPr>
          <w:b/>
          <w:color w:val="B28B3C"/>
          <w:sz w:val="20"/>
        </w:rPr>
        <w:t>DISCERE  •  AEDIFICARE  •  SERVIRE</w:t>
      </w:r>
    </w:p>
    <w:p>
      <w:pPr>
        <w:pStyle w:val="SmallNote"/>
        <w:jc w:val="center"/>
      </w:pPr>
      <w:r>
        <w:t>Learn. Build. Serve.  |  Current runtime: v16.3.64  |  Core curriculum release: 16.3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3D2E"/>
                <w:sz w:val="19"/>
              </w:rPr>
              <w:t>CURRENT WEBSITE USE - v16.3.64</w:t>
            </w:r>
          </w:p>
          <w:p>
            <w:pPr>
              <w:spacing w:after="0"/>
            </w:pPr>
            <w:r>
              <w:t>This document is the current governance layer. The original v16.3 Curriculum &amp; Instruction Plan remains the frozen detailed baseline for the 62 lessons. Later accepted repairs listed here supersede only the layers they explicitly changed.</w:t>
            </w:r>
          </w:p>
        </w:tc>
      </w:tr>
    </w:tbl>
    <w:p>
      <w:r>
        <w:br w:type="page"/>
      </w:r>
    </w:p>
    <w:p>
      <w:pPr>
        <w:pStyle w:val="Heading1"/>
      </w:pPr>
      <w:r>
        <w:t>1. Governing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Current accepted state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Course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31 weeks / 62 primary lessons / 24 lab routes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CETa competencies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262 official competency identities preserved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Career standards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81 current traceability-reconciled standards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Semantic tasks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91 total semantic tasks; 17 Career-specific tasks in current build metadata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Integrated checks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62 integrated MCQs + 62 short responses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Gates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Weeks 5, 12, 18; Week 23 CETa readiness; Week 30 career green light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Cloud Sync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Protocol 2; local-first supported records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Runtime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v16.3.64 document-system refresh; course release remains 16.3</w:t>
            </w:r>
          </w:p>
        </w:tc>
      </w:tr>
    </w:tbl>
    <w:p>
      <w:pPr>
        <w:pStyle w:val="Heading1"/>
      </w:pPr>
      <w:r>
        <w:t>2. Authority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Controlling record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Detailed 62-lesson baseline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AU-ESET-301-v16.3-Curriculum-and-Instruction-Plan.docx (frozen baseline)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Career wording/provenance/dependencies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v16.3.42 traceability package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Teaching Media architecture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v16.3.60 combined multimodal QA repair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Outside literature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v16.3.48 literature integration + later architecture roles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CETa Study Guide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v16.3.53 mapping through v16.3.61 built-in copy behavior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Study week selection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v16.3.62 reached-plus-current week selector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Calendar / Resume completion truth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v16.3.63 shared evidence-based stage logic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Current learner documents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v16.3.64 document-system refresh</w:t>
            </w:r>
          </w:p>
        </w:tc>
      </w:tr>
    </w:tbl>
    <w:p>
      <w:pPr>
        <w:pStyle w:val="Heading1"/>
      </w:pPr>
      <w:r>
        <w:t>3. 31-Week Instructional Sequence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Week</w:t>
            </w:r>
          </w:p>
        </w:tc>
        <w:tc>
          <w:tcPr>
            <w:tcW w:type="dxa" w:w="207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Dates</w:t>
            </w:r>
          </w:p>
        </w:tc>
        <w:tc>
          <w:tcPr>
            <w:tcW w:type="dxa" w:w="207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Module</w:t>
            </w:r>
          </w:p>
        </w:tc>
        <w:tc>
          <w:tcPr>
            <w:tcW w:type="dxa" w:w="207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Primary lessons</w:t>
            </w:r>
          </w:p>
        </w:tc>
        <w:tc>
          <w:tcPr>
            <w:tcW w:type="dxa" w:w="207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Lab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W01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2026-09-15 - 2026-09-19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Electricity, Safety, Ohm’s Law, and Power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The four quantities and the circuit they describe / Safe bench setup, prediction, and measurement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LAB-001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W02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2026-09-21 - 2026-09-26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DC Networks, Kirchhoff’s Laws, and Voltage Dividers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Series, parallel, KVL, KCL, and divider reasoning / Use expected node values to troubleshoot instead of guessing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LAB-002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W03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2026-09-28 - 2026-10-03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DMM, Bench Supply, and Oscilloscope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What each instrument measures and how the controls map to quantities / Measurement planning, probe discipline, and uncertainty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LAB-003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W04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2026-10-05 - 2026-10-10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AC Waveforms, Capacitors, Inductors, and Time Response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Waveform language and energy-storage behavior / Turn time-domain measurements into filter and fault evidence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LAB-004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W05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2026-10-12 - 2026-10-17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Foundation Mastery and Practical Fault Isolation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Interleaved foundation retrieval and error repair / A complete troubleshooting loop under a practical gate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LAB-005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W06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2026-10-19 - 2026-10-24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Reactance, Impedance, Resonance, Filters, and Transformers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From reactance to impedance, phase, and resonance / Characterize a filter or resonant network like a technician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LAB-006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W07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2026-10-26 - 2026-10-31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Components, Magnetism, Relays, Motors, and Generators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Component families, ratings, magnetism, and machines / Read a datasheet and design a relay/inductive-load interface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LAB-007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W08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2026-11-02 - 2026-11-07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Diodes, BJTs, MOSFETs, and Controlled Switching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Junction behavior and semiconductor device roles / Design and diagnose a protected low-side switch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LAB-008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W09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2026-11-09 - 2026-11-14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Rectifiers, Filters, Regulators, and Power-Supply Faults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Power-supply blocks and their expected signals / Rail-by-rail bring-up and supply troubleshooting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LAB-009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W10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2026-11-16 - 2026-11-21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Amplifiers, Op-Amps, Gain, Decibels, and Loading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Gain, dB, feedback, and ideal op-amp rules / Measure and troubleshoot a signal chain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LAB-010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W11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2026-11-23 - 2026-11-28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Number Systems, Boolean Logic, and Digital Circuits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Binary, hexadecimal, gates, and sequential state / Real logic levels, pull resistors, debounce, and measurement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LAB-011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W12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2026-11-30 - 2026-12-05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Soldering, ESD, Rework, and Version-Controlled Repair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ESD control and solder/rework fundamentals / Make physical changes traceable with Git and lab records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LAB-012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W13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2026-12-07 - 2026-12-12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Schematics, Datasheets, Signal Flow, and Root Cause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Read diagram types and turn symbols into behavior / Troubleshoot with competing hypotheses and high-information tests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LAB-013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W14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2026-12-14 - 2026-12-19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C Fundamentals and Computer Architecture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Computer blocks, representation, memory, and the build path / Write and debug small C programs methodically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LAB-014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W15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2026-12-21 - 2026-12-26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Embedded C, Bit Operations, State Machines, and Timing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Bit fields, ports, processors, and stored state / Responsive embedded architecture, volatile, and timing choices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LAB-015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W16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2026-12-28 - 2027-01-02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STM32 Project Setup, GPIO, Clocks, and SWD Debug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MCU architecture, memory map, GPIO, and debug concepts / Create, flash, verify, and document a minimum STM32 bring-up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LAB-016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W17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2027-01-04 - 2027-01-09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UART Communication and Python Serial Control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UART frames, parameters, levels, and error causes / Build a robust Python serial client and evidence log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LAB-017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W18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2027-01-11 - 2027-01-16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I²C, SPI, Logic Analysis, Sensors, and Actuators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Interface roles, signaling, and conversion / Datasheet-to-wire integration and bus fault isolation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LAB-018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W19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2027-01-19 - 2027-01-23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Cabling, Audio/Video Signal Paths, and Optical Systems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Media, connectors, signal paths, and optical fundamentals / Terminate, inspect, continuity-test, and isolate a connection fault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LAB-019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W20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2027-01-26 - 2027-01-30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RF, Telecommunications, Spectrum, and Technician Procedures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RF, modulation, antennas, transmission, and telecom blocks / Measurement procedure, spectrum interpretation, and technical handoff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LAB-020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W21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2027-02-02 - 2027-02-06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CETa Integration I and Mixed Technician Decisions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Interleaved recall across all CETa domains / Turn broad theory into rapid technician choices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LAB-021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W22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2027-02-09 - 2027-02-13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CETa Repair II and Project Requirements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Targeted repair and readiness evidence / Write requirements and verification before building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LAB-022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W23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2027-02-16 - 2027-02-20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CETa Readiness Gate and Reproducible Project Setup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Execute the final readiness gate without gaming it / Create a controlled project baseline before hardware bring-up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-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W24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2027-02-23 - 2027-02-27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Safe Hardware Bring-Up and CETa Power/Measurement Retention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Retention: safe power, rails, current, and instrument choices / Execute staged first power and establish a known-good baseline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-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W25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2027-03-02 - 2027-03-06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Sensor/Interface Integration and CETa Interface Retention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Retention: interface circuitry, conversion, and optical/isolation context / Integrate one peripheral through a controlled vertical slice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-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W26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2027-03-09 - 2027-03-13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Firmware Architecture, Diagnostics, and CETa Digital Retention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Retention: logic, registers, memory, and computer blocks / Separate drivers, application state, diagnostics, and recovery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-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W27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2027-03-16 - 2027-03-20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Python Hardware Test, Logging, and CETa Computer-Application Retention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Retention: computer applications, data, ports, and calculation integrity / Design a maintainable automated hardware test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LAB-023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W28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2027-03-23 - 2027-03-27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Fault Injection, Root Cause, and Technical Test Reporting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Retention: diagrams, test equipment, records, and procedure / Design controlled faults and write a defensible report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-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W29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2027-03-30 - 2027-04-03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Instrumentation, Rework, Harnesses, and Role-Proof Integration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Retention: workmanship, cabling, measurement, and safety / Assemble an employer-facing role-proof dossier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-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W30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2027-04-06 - 2027-04-10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Portfolio, Resume, Interview Defense, and CETa Retention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Retention: mixed technical explanations and exam maintenance / Build an evidence-first application and interview package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2"/>
              </w:rPr>
              <w:t>LAB-024</w:t>
            </w:r>
          </w:p>
        </w:tc>
      </w:tr>
      <w:tr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W31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2027-04-13 - 2027-04-17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Application Sprint, Interview Feedback, and Continuing Mastery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Retention: protect certification knowledge after the course / Run applications as an evidence-and-feedback loop</w:t>
            </w:r>
          </w:p>
        </w:tc>
        <w:tc>
          <w:tcPr>
            <w:tcW w:type="dxa" w:w="20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2"/>
              </w:rPr>
              <w:t>-</w:t>
            </w:r>
          </w:p>
        </w:tc>
      </w:tr>
    </w:tbl>
    <w:p>
      <w:pPr>
        <w:pStyle w:val="Heading1"/>
      </w:pPr>
      <w:r>
        <w:t>4. Pedagogical Contract</w:t>
      </w:r>
    </w:p>
    <w:p>
      <w:pPr>
        <w:pStyle w:val="ListBullet"/>
        <w:spacing w:after="40"/>
      </w:pPr>
      <w:r>
        <w:t>Teach from the ground up: physical meaning, units/prefixes, why the concept matters, worked examples, calculations, and links to earlier concepts.</w:t>
      </w:r>
    </w:p>
    <w:p>
      <w:pPr>
        <w:pStyle w:val="ListBullet"/>
        <w:spacing w:after="40"/>
      </w:pPr>
      <w:r>
        <w:t>Concept-before-use: later labs, Career standards, and CETa reading may rely only on prerequisites that have already been taught or deliberately activated.</w:t>
      </w:r>
    </w:p>
    <w:p>
      <w:pPr>
        <w:pStyle w:val="ListBullet"/>
        <w:spacing w:after="40"/>
      </w:pPr>
      <w:r>
        <w:t>Use credited authoritative diagrams/figures where helpful. AI-generated instructional diagrams are not the default instructional source.</w:t>
      </w:r>
    </w:p>
    <w:p>
      <w:pPr>
        <w:pStyle w:val="ListBullet"/>
        <w:spacing w:after="40"/>
      </w:pPr>
      <w:r>
        <w:t>Use high-quality YouTube teachers when they materially improve understanding; clarity/visual explanation/pacing can outrank prestige after accuracy/currentness is acceptable.</w:t>
      </w:r>
    </w:p>
    <w:p>
      <w:pPr>
        <w:pStyle w:val="ListBullet"/>
        <w:spacing w:after="40"/>
      </w:pPr>
      <w:r>
        <w:t>Active learning and changed-context evidence outrank passive consumption.</w:t>
      </w:r>
    </w:p>
    <w:p>
      <w:pPr>
        <w:pStyle w:val="Heading1"/>
      </w:pPr>
      <w:r>
        <w:t>5. Teaching Media / Reading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Current value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Assignments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347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Classroom Required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247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Study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81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Engineering Library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Target sections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491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Inline placements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1,021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Canonical video resources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120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Canonical non-video resources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131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Central reading records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214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Required contradictions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Missing backlinks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0</w:t>
            </w:r>
          </w:p>
        </w:tc>
      </w:tr>
    </w:tbl>
    <w:p>
      <w:r>
        <w:t>Governing rule: complete instructional coverage first, remove unnecessary within-medium redundancy second. Every substantive section receives first-pass support in video and outside written literature where applicable. Required content is placed at the exact teaching section and remains visible centrally.</w:t>
      </w:r>
    </w:p>
    <w:p>
      <w:pPr>
        <w:pStyle w:val="Heading1"/>
      </w:pPr>
      <w:r>
        <w:t>6. CETa Study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5184"/>
            <w:shd w:fill="0B3D2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64 printed pages / 14 weeks / approximately 221-260 minutes total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Study/Review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133 printed pages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Reference/Historical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27 printed pages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No-new-Required weeks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Authority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Current ETA scope/formulas/errata control conflicts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Mapping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r>
              <w:rPr>
                <w:sz w:val="16"/>
              </w:rPr>
              <w:t>Printed page +10 -&gt; verified bundled PDF page</w:t>
            </w:r>
          </w:p>
        </w:tc>
      </w:tr>
    </w:tbl>
    <w:p>
      <w:pPr>
        <w:pStyle w:val="Heading1"/>
      </w:pPr>
      <w:r>
        <w:t>7. Assessment and Readiness</w:t>
      </w:r>
    </w:p>
    <w:p>
      <w:pPr>
        <w:pStyle w:val="ListBullet"/>
        <w:spacing w:after="40"/>
      </w:pPr>
      <w:r>
        <w:t>Weekly Mastery normally targets &gt;=80% and includes safety-critical checks where assigned.</w:t>
      </w:r>
    </w:p>
    <w:p>
      <w:pPr>
        <w:pStyle w:val="ListBullet"/>
        <w:spacing w:after="40"/>
      </w:pPr>
      <w:r>
        <w:t>Lab/Application requires real route evidence plus required lab knowledge check &gt;=80% when a lab exists.</w:t>
      </w:r>
    </w:p>
    <w:p>
      <w:pPr>
        <w:pStyle w:val="ListBullet"/>
        <w:spacing w:after="40"/>
      </w:pPr>
      <w:r>
        <w:t>CETa readiness requires one current Alfred 100-question run &gt;=85% and one separate current independent ETA/CETa practice assessment &gt;=85%.</w:t>
      </w:r>
    </w:p>
    <w:p>
      <w:pPr>
        <w:pStyle w:val="ListBullet"/>
        <w:spacing w:after="40"/>
      </w:pPr>
      <w:r>
        <w:t>Week 18 embedded gate requires STM32, SWD, UART, I2C/SPI, logic analyzer, and fault-injection evidence.</w:t>
      </w:r>
    </w:p>
    <w:p>
      <w:pPr>
        <w:pStyle w:val="ListBullet"/>
        <w:spacing w:after="40"/>
      </w:pPr>
      <w:r>
        <w:t>Week 30 career green light is evidence-based and does not require becoming engineer-level before applying for technician/test/hardware bridge roles.</w:t>
      </w:r>
    </w:p>
    <w:p>
      <w:pPr>
        <w:pStyle w:val="Heading1"/>
      </w:pPr>
      <w:r>
        <w:t>8. UX / Progress Rules</w:t>
      </w:r>
    </w:p>
    <w:p>
      <w:pPr>
        <w:pStyle w:val="ListBullet"/>
        <w:spacing w:after="40"/>
      </w:pPr>
      <w:r>
        <w:t>Resume Learn and Resume Study are separate.</w:t>
      </w:r>
    </w:p>
    <w:p>
      <w:pPr>
        <w:pStyle w:val="ListBullet"/>
        <w:spacing w:after="40"/>
      </w:pPr>
      <w:r>
        <w:t>Study week selector permits reached weeks plus the current course week without moving Classroom progress.</w:t>
      </w:r>
    </w:p>
    <w:p>
      <w:pPr>
        <w:pStyle w:val="ListBullet"/>
        <w:spacing w:after="40"/>
      </w:pPr>
      <w:r>
        <w:t>Question review routes to exact teaching sections and returns to the original question.</w:t>
      </w:r>
    </w:p>
    <w:p>
      <w:pPr>
        <w:pStyle w:val="ListBullet"/>
        <w:spacing w:after="40"/>
      </w:pPr>
      <w:r>
        <w:t>Glossary: first occurrence emphasis, single-click definition, double-click glossary navigation; no hover dependency.</w:t>
      </w:r>
    </w:p>
    <w:p>
      <w:pPr>
        <w:pStyle w:val="ListBullet"/>
        <w:spacing w:after="40"/>
      </w:pPr>
      <w:r>
        <w:t>Focus Prep appears at the start of sustained work. Quiet Mode reduces distraction without hiding instruction.</w:t>
      </w:r>
    </w:p>
    <w:p>
      <w:pPr>
        <w:pStyle w:val="ListBullet"/>
        <w:spacing w:after="40"/>
      </w:pPr>
      <w:r>
        <w:t>Media consumption does not affect mastery. Prior-pass compatibility prevents restored Required resources from revoking historical passes.</w:t>
      </w:r>
    </w:p>
    <w:p>
      <w:pPr>
        <w:pStyle w:val="Heading1"/>
      </w:pPr>
      <w:r>
        <w:t>9. Runtime / Version / Deployment Discipline</w:t>
      </w:r>
    </w:p>
    <w:p>
      <w:pPr>
        <w:pStyle w:val="ListBullet"/>
        <w:spacing w:after="40"/>
      </w:pPr>
      <w:r>
        <w:t>Repository state, deployment state, and browser cache are separate facts.</w:t>
      </w:r>
    </w:p>
    <w:p>
      <w:pPr>
        <w:pStyle w:val="ListBullet"/>
        <w:spacing w:after="40"/>
      </w:pPr>
      <w:r>
        <w:t>Every runtime update advances build-info.json, service-worker cache, Release Notes, and checksums together.</w:t>
      </w:r>
    </w:p>
    <w:p>
      <w:pPr>
        <w:pStyle w:val="ListBullet"/>
        <w:spacing w:after="40"/>
      </w:pPr>
      <w:r>
        <w:t>Cloud Sync protocol changes only when the record protocol actually changes; v16.3.64 remains protocol 2.</w:t>
      </w:r>
    </w:p>
    <w:p>
      <w:pPr>
        <w:pStyle w:val="ListBullet"/>
        <w:spacing w:after="40"/>
      </w:pPr>
      <w:r>
        <w:t>Historical reports stay frozen. Current documents label exactly which layer they govern.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660"/>
        <w:sz w:val="15"/>
      </w:rPr>
      <w:t xml:space="preserve">Personal independent-study simulation - fictional institution - non-credit.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660"/>
        <w:sz w:val="15"/>
      </w:rPr>
      <w:t>ALFRED UNIVERSITY  |  AU-ESET 301  |  CURRENT DOCUMENT SYSTEM v16.3.64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B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3D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66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