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HOMEOWNER'S POLICY DECLARATIONS</w:t>
      </w:r>
    </w:p>
    <w:p>
      <w:r>
        <w:t>Policy Number: HWP-2022-445891        Form: HO-3 Homeowner's</w:t>
      </w:r>
    </w:p>
    <w:p>
      <w:r>
        <w:t>Named Insured: Margaret &amp; Robert Chen</w:t>
        <w:br/>
        <w:t>Insured Location: 4821 Oakridge Drive, Naperville, IL 60540</w:t>
      </w:r>
    </w:p>
    <w:p>
      <w:r>
        <w:t>Policy Period: 2024-06-01 to 2025-06-01    Annual Premium: $2,840.00</w:t>
      </w:r>
    </w:p>
    <w:p>
      <w:pPr>
        <w:pStyle w:val="Heading1"/>
      </w:pPr>
      <w:r>
        <w:t>Coverage Limits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</w:tr>
      <w:tr>
        <w:tc>
          <w:tcPr>
            <w:tcW w:type="dxa" w:w="2880"/>
          </w:tcPr>
          <w:p>
            <w:r>
              <w:t>Dwelling</w:t>
            </w:r>
          </w:p>
        </w:tc>
        <w:tc>
          <w:tcPr>
            <w:tcW w:type="dxa" w:w="2880"/>
          </w:tcPr>
          <w:p>
            <w:r>
              <w:t>Coverage A</w:t>
            </w:r>
          </w:p>
        </w:tc>
        <w:tc>
          <w:tcPr>
            <w:tcW w:type="dxa" w:w="2880"/>
          </w:tcPr>
          <w:p>
            <w:r>
              <w:t>$450,000.00</w:t>
            </w:r>
          </w:p>
        </w:tc>
      </w:tr>
      <w:tr>
        <w:tc>
          <w:tcPr>
            <w:tcW w:type="dxa" w:w="2880"/>
          </w:tcPr>
          <w:p>
            <w:r>
              <w:t>Personal Property</w:t>
            </w:r>
          </w:p>
        </w:tc>
        <w:tc>
          <w:tcPr>
            <w:tcW w:type="dxa" w:w="2880"/>
          </w:tcPr>
          <w:p>
            <w:r>
              <w:t>Coverage C</w:t>
            </w:r>
          </w:p>
        </w:tc>
        <w:tc>
          <w:tcPr>
            <w:tcW w:type="dxa" w:w="2880"/>
          </w:tcPr>
          <w:p>
            <w:r>
              <w:t>$225,000.00</w:t>
            </w:r>
          </w:p>
        </w:tc>
      </w:tr>
      <w:tr>
        <w:tc>
          <w:tcPr>
            <w:tcW w:type="dxa" w:w="2880"/>
          </w:tcPr>
          <w:p>
            <w:r>
              <w:t>Personal Liability</w:t>
            </w:r>
          </w:p>
        </w:tc>
        <w:tc>
          <w:tcPr>
            <w:tcW w:type="dxa" w:w="2880"/>
          </w:tcPr>
          <w:p>
            <w:r>
              <w:t>Coverage E</w:t>
            </w:r>
          </w:p>
        </w:tc>
        <w:tc>
          <w:tcPr>
            <w:tcW w:type="dxa" w:w="2880"/>
          </w:tcPr>
          <w:p>
            <w:r>
              <w:t>$300,000.00</w:t>
            </w:r>
          </w:p>
        </w:tc>
      </w:tr>
      <w:tr>
        <w:tc>
          <w:tcPr>
            <w:tcW w:type="dxa" w:w="2880"/>
          </w:tcPr>
          <w:p>
            <w:r>
              <w:t>Loss of Use / ALE</w:t>
            </w:r>
          </w:p>
        </w:tc>
        <w:tc>
          <w:tcPr>
            <w:tcW w:type="dxa" w:w="2880"/>
          </w:tcPr>
          <w:p>
            <w:r>
              <w:t>Coverage D</w:t>
            </w:r>
          </w:p>
        </w:tc>
        <w:tc>
          <w:tcPr>
            <w:tcW w:type="dxa" w:w="2880"/>
          </w:tcPr>
          <w:p>
            <w:r>
              <w:t>$90,000.00</w:t>
            </w:r>
          </w:p>
        </w:tc>
      </w:tr>
    </w:tbl>
    <w:p>
      <w:pPr>
        <w:pStyle w:val="Heading1"/>
      </w:pPr>
      <w:r>
        <w:t>Deductible</w:t>
      </w:r>
    </w:p>
    <w:p>
      <w:r>
        <w:t>$2,500.00 per occurrence (flat, all perils).</w:t>
      </w:r>
    </w:p>
    <w:p>
      <w:pPr>
        <w:pStyle w:val="Heading1"/>
      </w:pPr>
      <w:r>
        <w:t>Endorsements</w:t>
      </w:r>
    </w:p>
    <w:p>
      <w:pPr>
        <w:pStyle w:val="ListBullet"/>
      </w:pPr>
      <w:r>
        <w:t>Replacement Cost on Contents</w:t>
      </w:r>
    </w:p>
    <w:p>
      <w:pPr>
        <w:pStyle w:val="ListBullet"/>
      </w:pPr>
      <w:r>
        <w:t>Scheduled Personal Property (jewelry $15K)</w:t>
      </w:r>
    </w:p>
    <w:p>
      <w:pPr>
        <w:pStyle w:val="ListBullet"/>
      </w:pPr>
      <w:r>
        <w:t>Water Backup &amp; Sump Overflow ($10K)</w:t>
      </w:r>
    </w:p>
    <w:p>
      <w:pPr>
        <w:pStyle w:val="ListBullet"/>
      </w:pPr>
      <w:r>
        <w:t>Identity Theft Recovery ($25K)</w:t>
      </w:r>
    </w:p>
    <w:p>
      <w:pPr>
        <w:pStyle w:val="Heading1"/>
      </w:pPr>
      <w:r>
        <w:t>Exclusions</w:t>
      </w:r>
    </w:p>
    <w:p>
      <w:pPr>
        <w:pStyle w:val="ListBullet"/>
      </w:pPr>
      <w:r>
        <w:t>Flood</w:t>
      </w:r>
    </w:p>
    <w:p>
      <w:pPr>
        <w:pStyle w:val="ListBullet"/>
      </w:pPr>
      <w:r>
        <w:t>Earthquake</w:t>
      </w:r>
    </w:p>
    <w:p>
      <w:pPr>
        <w:pStyle w:val="ListBullet"/>
      </w:pPr>
      <w:r>
        <w:t>Ordinance or Law (except as endorsed)</w:t>
      </w:r>
    </w:p>
    <w:p>
      <w:pPr>
        <w:pStyle w:val="ListBullet"/>
      </w:pPr>
      <w:r>
        <w:t>Mold (limited to $10K)</w:t>
      </w:r>
    </w:p>
    <w:p>
      <w:pPr>
        <w:pStyle w:val="ListBullet"/>
      </w:pPr>
      <w:r>
        <w:t>Business Property</w:t>
      </w:r>
    </w:p>
    <w:p>
      <w:pPr>
        <w:pStyle w:val="ListBullet"/>
      </w:pPr>
      <w:r>
        <w:t>Motor Vehicles</w:t>
      </w:r>
    </w:p>
    <w:p>
      <w:r>
        <w:rPr>
          <w:i/>
          <w:sz w:val="16"/>
        </w:rPr>
        <w:t>Synthetic declarations generated for workflow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