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cs="Calibri" w:eastAsia="Calibri"/>
          <w:b w:val="0"/>
          <w:i/>
          <w:sz w:val="16"/>
        </w:rPr>
        <w:t>SYNTHETIC BENCHMARK DOCUMENT - all names, identifiers, figures and orders in this document are fictitious and exist only to test search quality.</w:t>
      </w:r>
    </w:p>
    <w:p>
      <w:r>
        <w:rPr>
          <w:rFonts w:ascii="Calibri" w:hAnsi="Calibri" w:cs="Calibri" w:eastAsia="Calibri"/>
          <w:b/>
          <w:i w:val="0"/>
          <w:sz w:val="32"/>
        </w:rPr>
        <w:t>Government of the State (Fictitious) - Directorate of Prosecutions</w:t>
      </w:r>
    </w:p>
    <w:p>
      <w:r>
        <w:rPr>
          <w:rFonts w:ascii="Calibri" w:hAnsi="Calibri" w:cs="Calibri" w:eastAsia="Calibri"/>
          <w:b/>
          <w:i w:val="0"/>
          <w:sz w:val="26"/>
        </w:rPr>
        <w:t>Government Order VA-GO-DOP-2025-032, dated 09-03-2025</w:t>
      </w:r>
    </w:p>
    <w:p>
      <w:r>
        <w:rPr>
          <w:rFonts w:ascii="Calibri" w:hAnsi="Calibri" w:cs="Calibri" w:eastAsia="Calibri"/>
          <w:b/>
          <w:i w:val="0"/>
        </w:rPr>
        <w:t>Subject: legal opinion services - fees, timelines and implementation guidelines - orders issued.</w:t>
      </w:r>
    </w:p>
    <w:p>
      <w:r>
        <w:rPr>
          <w:rFonts w:ascii="Calibri" w:hAnsi="Calibri" w:cs="Calibri" w:eastAsia="Calibri"/>
          <w:b w:val="0"/>
          <w:i w:val="0"/>
        </w:rPr>
        <w:t>Read: Proposals of the Head of Department, dated 16-02-2025.</w:t>
      </w:r>
    </w:p>
    <w:p>
      <w:r>
        <w:rPr>
          <w:rFonts w:ascii="Calibri" w:hAnsi="Calibri" w:cs="Calibri" w:eastAsia="Calibri"/>
          <w:b w:val="0"/>
          <w:i w:val="0"/>
        </w:rPr>
        <w:t>Public prosecutors scrutinise chargesheets before they are filed, advise investigating officers on gaps in evidence, and conduct the trial. The Directorate monitors conviction rates, adjournments and the time taken to give legal opinions.</w:t>
      </w:r>
    </w:p>
    <w:p>
      <w:r>
        <w:rPr>
          <w:rFonts w:ascii="Calibri" w:hAnsi="Calibri" w:cs="Calibri" w:eastAsia="Calibri"/>
          <w:b w:val="0"/>
          <w:i w:val="0"/>
        </w:rPr>
        <w:t>Opinions were often delayed for want of case diaries and forensic reports, and appeals against acquittals were filed late. Government revises the processing charge, opinion timelines and the appeal procedure.</w:t>
      </w:r>
    </w:p>
    <w:p>
      <w:r>
        <w:rPr>
          <w:rFonts w:ascii="Calibri" w:hAnsi="Calibri" w:cs="Calibri" w:eastAsia="Calibri"/>
          <w:b/>
          <w:i w:val="0"/>
          <w:sz w:val="26"/>
        </w:rPr>
        <w:t>ORDER</w:t>
      </w:r>
    </w:p>
    <w:p>
      <w:r>
        <w:rPr>
          <w:rFonts w:ascii="Calibri" w:hAnsi="Calibri" w:cs="Calibri" w:eastAsia="Calibri"/>
          <w:b w:val="0"/>
          <w:i w:val="0"/>
        </w:rPr>
        <w:t>1. The processing fee for a legal opinion application is fixed at Rs 2,275.</w:t>
      </w:r>
    </w:p>
    <w:p>
      <w:r>
        <w:rPr>
          <w:rFonts w:ascii="Calibri" w:hAnsi="Calibri" w:cs="Calibri" w:eastAsia="Calibri"/>
          <w:b w:val="0"/>
          <w:i w:val="0"/>
        </w:rPr>
        <w:t>2. Every legal opinion application shall be disposed of within 42 working days of receipt.</w:t>
      </w:r>
    </w:p>
    <w:p>
      <w:r>
        <w:rPr>
          <w:rFonts w:ascii="Calibri" w:hAnsi="Calibri" w:cs="Calibri" w:eastAsia="Calibri"/>
          <w:b w:val="0"/>
          <w:i w:val="0"/>
        </w:rPr>
        <w:t>3. Where the timeline is exceeded, a penalty of Rs 500 per day of delay shall be recovered from the officer responsible.</w:t>
      </w:r>
    </w:p>
    <w:p>
      <w:r>
        <w:rPr>
          <w:rFonts w:ascii="Calibri" w:hAnsi="Calibri" w:cs="Calibri" w:eastAsia="Calibri"/>
          <w:b w:val="0"/>
          <w:i w:val="0"/>
        </w:rPr>
        <w:t>4. The Deputy Director of Prosecutions may approve cases of a value up to Rs 18,95,000 without further reference.</w:t>
      </w:r>
    </w:p>
    <w:p>
      <w:r>
        <w:rPr>
          <w:rFonts w:ascii="Calibri" w:hAnsi="Calibri" w:cs="Calibri" w:eastAsia="Calibri"/>
          <w:b w:val="0"/>
          <w:i w:val="0"/>
        </w:rPr>
        <w:t>5. An applicant aggrieved by the decision may appeal to the Director of Prosecutions within 45 days.</w:t>
      </w:r>
    </w:p>
    <w:p>
      <w:r>
        <w:rPr>
          <w:rFonts w:ascii="Calibri" w:hAnsi="Calibri" w:cs="Calibri" w:eastAsia="Calibri"/>
          <w:b w:val="0"/>
          <w:i w:val="0"/>
        </w:rPr>
        <w:t>6. These orders come into force from 18-04-2025.</w:t>
      </w:r>
    </w:p>
    <w:p>
      <w:r>
        <w:rPr>
          <w:rFonts w:ascii="Calibri" w:hAnsi="Calibri" w:cs="Calibri" w:eastAsia="Calibri"/>
          <w:b/>
          <w:i w:val="0"/>
          <w:sz w:val="26"/>
        </w:rPr>
        <w:t>District-wise sanctioned posts and allocation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cs="Calibri" w:eastAsia="Calibri"/>
                <w:b/>
                <w:i w:val="0"/>
              </w:rPr>
              <w:t>District</w:t>
            </w:r>
          </w:p>
        </w:tc>
        <w:tc>
          <w:tcPr>
            <w:tcW w:type="dxa" w:w="2880"/>
          </w:tcPr>
          <w:p>
            <w:r>
              <w:rPr>
                <w:rFonts w:ascii="Calibri" w:hAnsi="Calibri" w:cs="Calibri" w:eastAsia="Calibri"/>
                <w:b/>
                <w:i w:val="0"/>
              </w:rPr>
              <w:t>Sanctioned posts</w:t>
            </w:r>
          </w:p>
        </w:tc>
        <w:tc>
          <w:tcPr>
            <w:tcW w:type="dxa" w:w="2880"/>
          </w:tcPr>
          <w:p>
            <w:r>
              <w:rPr>
                <w:rFonts w:ascii="Calibri" w:hAnsi="Calibri" w:cs="Calibri" w:eastAsia="Calibri"/>
                <w:b/>
                <w:i w:val="0"/>
              </w:rPr>
              <w:t>Allocation (Rs lakh)</w:t>
            </w:r>
          </w:p>
        </w:tc>
      </w:tr>
      <w:tr>
        <w:tc>
          <w:tcPr>
            <w:tcW w:type="dxa" w:w="2880"/>
          </w:tcPr>
          <w:p>
            <w:r>
              <w:rPr>
                <w:rFonts w:ascii="Calibri" w:hAnsi="Calibri" w:cs="Calibri" w:eastAsia="Calibri"/>
                <w:b w:val="0"/>
                <w:i w:val="0"/>
              </w:rPr>
              <w:t>Hyderabad</w:t>
            </w:r>
          </w:p>
        </w:tc>
        <w:tc>
          <w:tcPr>
            <w:tcW w:type="dxa" w:w="2880"/>
          </w:tcPr>
          <w:p>
            <w:r>
              <w:rPr>
                <w:rFonts w:ascii="Calibri" w:hAnsi="Calibri" w:cs="Calibri" w:eastAsia="Calibri"/>
                <w:b w:val="0"/>
                <w:i w:val="0"/>
              </w:rPr>
              <w:t>280</w:t>
            </w:r>
          </w:p>
        </w:tc>
        <w:tc>
          <w:tcPr>
            <w:tcW w:type="dxa" w:w="2880"/>
          </w:tcPr>
          <w:p>
            <w:r>
              <w:rPr>
                <w:rFonts w:ascii="Calibri" w:hAnsi="Calibri" w:cs="Calibri" w:eastAsia="Calibri"/>
                <w:b w:val="0"/>
                <w:i w:val="0"/>
              </w:rPr>
              <w:t>108.1</w:t>
            </w:r>
          </w:p>
        </w:tc>
      </w:tr>
      <w:tr>
        <w:tc>
          <w:tcPr>
            <w:tcW w:type="dxa" w:w="2880"/>
          </w:tcPr>
          <w:p>
            <w:r>
              <w:rPr>
                <w:rFonts w:ascii="Calibri" w:hAnsi="Calibri" w:cs="Calibri" w:eastAsia="Calibri"/>
                <w:b w:val="0"/>
                <w:i w:val="0"/>
              </w:rPr>
              <w:t>Ranga Reddy</w:t>
            </w:r>
          </w:p>
        </w:tc>
        <w:tc>
          <w:tcPr>
            <w:tcW w:type="dxa" w:w="2880"/>
          </w:tcPr>
          <w:p>
            <w:r>
              <w:rPr>
                <w:rFonts w:ascii="Calibri" w:hAnsi="Calibri" w:cs="Calibri" w:eastAsia="Calibri"/>
                <w:b w:val="0"/>
                <w:i w:val="0"/>
              </w:rPr>
              <w:t>124</w:t>
            </w:r>
          </w:p>
        </w:tc>
        <w:tc>
          <w:tcPr>
            <w:tcW w:type="dxa" w:w="2880"/>
          </w:tcPr>
          <w:p>
            <w:r>
              <w:rPr>
                <w:rFonts w:ascii="Calibri" w:hAnsi="Calibri" w:cs="Calibri" w:eastAsia="Calibri"/>
                <w:b w:val="0"/>
                <w:i w:val="0"/>
              </w:rPr>
              <w:t>9.2</w:t>
            </w:r>
          </w:p>
        </w:tc>
      </w:tr>
      <w:tr>
        <w:tc>
          <w:tcPr>
            <w:tcW w:type="dxa" w:w="2880"/>
          </w:tcPr>
          <w:p>
            <w:r>
              <w:rPr>
                <w:rFonts w:ascii="Calibri" w:hAnsi="Calibri" w:cs="Calibri" w:eastAsia="Calibri"/>
                <w:b w:val="0"/>
                <w:i w:val="0"/>
              </w:rPr>
              <w:t>Medchal-Malkajgiri</w:t>
            </w:r>
          </w:p>
        </w:tc>
        <w:tc>
          <w:tcPr>
            <w:tcW w:type="dxa" w:w="2880"/>
          </w:tcPr>
          <w:p>
            <w:r>
              <w:rPr>
                <w:rFonts w:ascii="Calibri" w:hAnsi="Calibri" w:cs="Calibri" w:eastAsia="Calibri"/>
                <w:b w:val="0"/>
                <w:i w:val="0"/>
              </w:rPr>
              <w:t>24</w:t>
            </w:r>
          </w:p>
        </w:tc>
        <w:tc>
          <w:tcPr>
            <w:tcW w:type="dxa" w:w="2880"/>
          </w:tcPr>
          <w:p>
            <w:r>
              <w:rPr>
                <w:rFonts w:ascii="Calibri" w:hAnsi="Calibri" w:cs="Calibri" w:eastAsia="Calibri"/>
                <w:b w:val="0"/>
                <w:i w:val="0"/>
              </w:rPr>
              <w:t>112.1</w:t>
            </w:r>
          </w:p>
        </w:tc>
      </w:tr>
      <w:tr>
        <w:tc>
          <w:tcPr>
            <w:tcW w:type="dxa" w:w="2880"/>
          </w:tcPr>
          <w:p>
            <w:r>
              <w:rPr>
                <w:rFonts w:ascii="Calibri" w:hAnsi="Calibri" w:cs="Calibri" w:eastAsia="Calibri"/>
                <w:b w:val="0"/>
                <w:i w:val="0"/>
              </w:rPr>
              <w:t>Warangal</w:t>
            </w:r>
          </w:p>
        </w:tc>
        <w:tc>
          <w:tcPr>
            <w:tcW w:type="dxa" w:w="2880"/>
          </w:tcPr>
          <w:p>
            <w:r>
              <w:rPr>
                <w:rFonts w:ascii="Calibri" w:hAnsi="Calibri" w:cs="Calibri" w:eastAsia="Calibri"/>
                <w:b w:val="0"/>
                <w:i w:val="0"/>
              </w:rPr>
              <w:t>365</w:t>
            </w:r>
          </w:p>
        </w:tc>
        <w:tc>
          <w:tcPr>
            <w:tcW w:type="dxa" w:w="2880"/>
          </w:tcPr>
          <w:p>
            <w:r>
              <w:rPr>
                <w:rFonts w:ascii="Calibri" w:hAnsi="Calibri" w:cs="Calibri" w:eastAsia="Calibri"/>
                <w:b w:val="0"/>
                <w:i w:val="0"/>
              </w:rPr>
              <w:t>57.9</w:t>
            </w:r>
          </w:p>
        </w:tc>
      </w:tr>
      <w:tr>
        <w:tc>
          <w:tcPr>
            <w:tcW w:type="dxa" w:w="2880"/>
          </w:tcPr>
          <w:p>
            <w:r>
              <w:rPr>
                <w:rFonts w:ascii="Calibri" w:hAnsi="Calibri" w:cs="Calibri" w:eastAsia="Calibri"/>
                <w:b w:val="0"/>
                <w:i w:val="0"/>
              </w:rPr>
              <w:t>Karimnagar</w:t>
            </w:r>
          </w:p>
        </w:tc>
        <w:tc>
          <w:tcPr>
            <w:tcW w:type="dxa" w:w="2880"/>
          </w:tcPr>
          <w:p>
            <w:r>
              <w:rPr>
                <w:rFonts w:ascii="Calibri" w:hAnsi="Calibri" w:cs="Calibri" w:eastAsia="Calibri"/>
                <w:b w:val="0"/>
                <w:i w:val="0"/>
              </w:rPr>
              <w:t>86</w:t>
            </w:r>
          </w:p>
        </w:tc>
        <w:tc>
          <w:tcPr>
            <w:tcW w:type="dxa" w:w="2880"/>
          </w:tcPr>
          <w:p>
            <w:r>
              <w:rPr>
                <w:rFonts w:ascii="Calibri" w:hAnsi="Calibri" w:cs="Calibri" w:eastAsia="Calibri"/>
                <w:b w:val="0"/>
                <w:i w:val="0"/>
              </w:rPr>
              <w:t>123.4</w:t>
            </w:r>
          </w:p>
        </w:tc>
      </w:tr>
      <w:tr>
        <w:tc>
          <w:tcPr>
            <w:tcW w:type="dxa" w:w="2880"/>
          </w:tcPr>
          <w:p>
            <w:r>
              <w:rPr>
                <w:rFonts w:ascii="Calibri" w:hAnsi="Calibri" w:cs="Calibri" w:eastAsia="Calibri"/>
                <w:b w:val="0"/>
                <w:i w:val="0"/>
              </w:rPr>
              <w:t>Nalgonda</w:t>
            </w:r>
          </w:p>
        </w:tc>
        <w:tc>
          <w:tcPr>
            <w:tcW w:type="dxa" w:w="2880"/>
          </w:tcPr>
          <w:p>
            <w:r>
              <w:rPr>
                <w:rFonts w:ascii="Calibri" w:hAnsi="Calibri" w:cs="Calibri" w:eastAsia="Calibri"/>
                <w:b w:val="0"/>
                <w:i w:val="0"/>
              </w:rPr>
              <w:t>222</w:t>
            </w:r>
          </w:p>
        </w:tc>
        <w:tc>
          <w:tcPr>
            <w:tcW w:type="dxa" w:w="2880"/>
          </w:tcPr>
          <w:p>
            <w:r>
              <w:rPr>
                <w:rFonts w:ascii="Calibri" w:hAnsi="Calibri" w:cs="Calibri" w:eastAsia="Calibri"/>
                <w:b w:val="0"/>
                <w:i w:val="0"/>
              </w:rPr>
              <w:t>39.0</w:t>
            </w:r>
          </w:p>
        </w:tc>
      </w:tr>
      <w:tr>
        <w:tc>
          <w:tcPr>
            <w:tcW w:type="dxa" w:w="2880"/>
          </w:tcPr>
          <w:p>
            <w:r>
              <w:rPr>
                <w:rFonts w:ascii="Calibri" w:hAnsi="Calibri" w:cs="Calibri" w:eastAsia="Calibri"/>
                <w:b w:val="0"/>
                <w:i w:val="0"/>
              </w:rPr>
              <w:t>Khammam</w:t>
            </w:r>
          </w:p>
        </w:tc>
        <w:tc>
          <w:tcPr>
            <w:tcW w:type="dxa" w:w="2880"/>
          </w:tcPr>
          <w:p>
            <w:r>
              <w:rPr>
                <w:rFonts w:ascii="Calibri" w:hAnsi="Calibri" w:cs="Calibri" w:eastAsia="Calibri"/>
                <w:b w:val="0"/>
                <w:i w:val="0"/>
              </w:rPr>
              <w:t>48</w:t>
            </w:r>
          </w:p>
        </w:tc>
        <w:tc>
          <w:tcPr>
            <w:tcW w:type="dxa" w:w="2880"/>
          </w:tcPr>
          <w:p>
            <w:r>
              <w:rPr>
                <w:rFonts w:ascii="Calibri" w:hAnsi="Calibri" w:cs="Calibri" w:eastAsia="Calibri"/>
                <w:b w:val="0"/>
                <w:i w:val="0"/>
              </w:rPr>
              <w:t>131.3</w:t>
            </w:r>
          </w:p>
        </w:tc>
      </w:tr>
      <w:tr>
        <w:tc>
          <w:tcPr>
            <w:tcW w:type="dxa" w:w="2880"/>
          </w:tcPr>
          <w:p>
            <w:r>
              <w:rPr>
                <w:rFonts w:ascii="Calibri" w:hAnsi="Calibri" w:cs="Calibri" w:eastAsia="Calibri"/>
                <w:b w:val="0"/>
                <w:i w:val="0"/>
              </w:rPr>
              <w:t>Nizamabad</w:t>
            </w:r>
          </w:p>
        </w:tc>
        <w:tc>
          <w:tcPr>
            <w:tcW w:type="dxa" w:w="2880"/>
          </w:tcPr>
          <w:p>
            <w:r>
              <w:rPr>
                <w:rFonts w:ascii="Calibri" w:hAnsi="Calibri" w:cs="Calibri" w:eastAsia="Calibri"/>
                <w:b w:val="0"/>
                <w:i w:val="0"/>
              </w:rPr>
              <w:t>243</w:t>
            </w:r>
          </w:p>
        </w:tc>
        <w:tc>
          <w:tcPr>
            <w:tcW w:type="dxa" w:w="2880"/>
          </w:tcPr>
          <w:p>
            <w:r>
              <w:rPr>
                <w:rFonts w:ascii="Calibri" w:hAnsi="Calibri" w:cs="Calibri" w:eastAsia="Calibri"/>
                <w:b w:val="0"/>
                <w:i w:val="0"/>
              </w:rPr>
              <w:t>61.4</w:t>
            </w:r>
          </w:p>
        </w:tc>
      </w:tr>
      <w:tr>
        <w:tc>
          <w:tcPr>
            <w:tcW w:type="dxa" w:w="2880"/>
          </w:tcPr>
          <w:p>
            <w:r>
              <w:rPr>
                <w:rFonts w:ascii="Calibri" w:hAnsi="Calibri" w:cs="Calibri" w:eastAsia="Calibri"/>
                <w:b w:val="0"/>
                <w:i w:val="0"/>
              </w:rPr>
              <w:t>Adilabad</w:t>
            </w:r>
          </w:p>
        </w:tc>
        <w:tc>
          <w:tcPr>
            <w:tcW w:type="dxa" w:w="2880"/>
          </w:tcPr>
          <w:p>
            <w:r>
              <w:rPr>
                <w:rFonts w:ascii="Calibri" w:hAnsi="Calibri" w:cs="Calibri" w:eastAsia="Calibri"/>
                <w:b w:val="0"/>
                <w:i w:val="0"/>
              </w:rPr>
              <w:t>74</w:t>
            </w:r>
          </w:p>
        </w:tc>
        <w:tc>
          <w:tcPr>
            <w:tcW w:type="dxa" w:w="2880"/>
          </w:tcPr>
          <w:p>
            <w:r>
              <w:rPr>
                <w:rFonts w:ascii="Calibri" w:hAnsi="Calibri" w:cs="Calibri" w:eastAsia="Calibri"/>
                <w:b w:val="0"/>
                <w:i w:val="0"/>
              </w:rPr>
              <w:t>24.9</w:t>
            </w:r>
          </w:p>
        </w:tc>
      </w:tr>
      <w:tr>
        <w:tc>
          <w:tcPr>
            <w:tcW w:type="dxa" w:w="2880"/>
          </w:tcPr>
          <w:p>
            <w:r>
              <w:rPr>
                <w:rFonts w:ascii="Calibri" w:hAnsi="Calibri" w:cs="Calibri" w:eastAsia="Calibri"/>
                <w:b w:val="0"/>
                <w:i w:val="0"/>
              </w:rPr>
              <w:t>Mahabubnagar</w:t>
            </w:r>
          </w:p>
        </w:tc>
        <w:tc>
          <w:tcPr>
            <w:tcW w:type="dxa" w:w="2880"/>
          </w:tcPr>
          <w:p>
            <w:r>
              <w:rPr>
                <w:rFonts w:ascii="Calibri" w:hAnsi="Calibri" w:cs="Calibri" w:eastAsia="Calibri"/>
                <w:b w:val="0"/>
                <w:i w:val="0"/>
              </w:rPr>
              <w:t>68</w:t>
            </w:r>
          </w:p>
        </w:tc>
        <w:tc>
          <w:tcPr>
            <w:tcW w:type="dxa" w:w="2880"/>
          </w:tcPr>
          <w:p>
            <w:r>
              <w:rPr>
                <w:rFonts w:ascii="Calibri" w:hAnsi="Calibri" w:cs="Calibri" w:eastAsia="Calibri"/>
                <w:b w:val="0"/>
                <w:i w:val="0"/>
              </w:rPr>
              <w:t>121.6</w:t>
            </w:r>
          </w:p>
        </w:tc>
      </w:tr>
    </w:tbl>
    <w:p>
      <w:r>
        <w:rPr>
          <w:rFonts w:ascii="Calibri" w:hAnsi="Calibri" w:cs="Calibri" w:eastAsia="Calibri"/>
          <w:b w:val="0"/>
          <w:i w:val="0"/>
        </w:rPr>
        <w:t>District Collectors shall review progress every month and send a report to the Head of Department. The status of every application shall be visible to citizens on the online portal, and the reasons for any rejection shall be recorded in writing.</w:t>
      </w:r>
    </w:p>
    <w:p>
      <w:r>
        <w:rPr>
          <w:rFonts w:ascii="Calibri" w:hAnsi="Calibri" w:cs="Calibri" w:eastAsia="Calibri"/>
          <w:b w:val="0"/>
          <w:i w:val="0"/>
        </w:rPr>
        <w:t>A grievance register shall be maintained in every office. Grievances shall be acknowledged on the day of receipt and answered in writing.</w:t>
      </w:r>
    </w:p>
    <w:p>
      <w:r>
        <w:rPr>
          <w:rFonts w:ascii="Calibri" w:hAnsi="Calibri" w:cs="Calibri" w:eastAsia="Calibri"/>
          <w:b w:val="0"/>
          <w:i w:val="0"/>
        </w:rPr>
        <w:t>By order and in the name of the Governor, Principal Secretary to Government (fictitious).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prosecutions_go_2025_en</dc:title>
  <dc:subject/>
  <dc:creator>VirtualAI benchmark generator</dc:creator>
  <cp:keywords/>
  <dc:description>generated by python-docx</dc:description>
  <cp:lastModifiedBy>VirtualAI benchmark generator</cp:lastModifiedBy>
  <cp:revision>1</cp:revision>
  <dcterms:created xsi:type="dcterms:W3CDTF">2026-01-01T00:00:00Z</dcterms:created>
  <dcterms:modified xsi:type="dcterms:W3CDTF">2026-01-01T00:00:00Z</dcterms:modified>
  <cp:category/>
</cp:coreProperties>
</file>