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eastAsia="Calibri"/>
          <w:b w:val="0"/>
          <w:i/>
          <w:sz w:val="16"/>
        </w:rPr>
        <w:t>SYNTHETIC BENCHMARK DOCUMENT - all names, identifiers, figures and orders in this document are fictitious and exist only to test search quality.</w:t>
      </w:r>
    </w:p>
    <w:p>
      <w:r>
        <w:rPr>
          <w:rFonts w:ascii="Calibri" w:hAnsi="Calibri" w:cs="Calibri" w:eastAsia="Calibri"/>
          <w:b/>
          <w:i w:val="0"/>
          <w:sz w:val="32"/>
        </w:rPr>
        <w:t>Government of the State (Fictitious) - High Court Registry - Filing and Scrutiny</w:t>
      </w:r>
    </w:p>
    <w:p>
      <w:r>
        <w:rPr>
          <w:rFonts w:ascii="Calibri" w:hAnsi="Calibri" w:cs="Calibri" w:eastAsia="Calibri"/>
          <w:b/>
          <w:i w:val="0"/>
          <w:sz w:val="26"/>
        </w:rPr>
        <w:t>Government Order VA-GO-HCR-2025-031, dated 10-04-2025</w:t>
      </w:r>
    </w:p>
    <w:p>
      <w:r>
        <w:rPr>
          <w:rFonts w:ascii="Calibri" w:hAnsi="Calibri" w:cs="Calibri" w:eastAsia="Calibri"/>
          <w:b/>
          <w:i w:val="0"/>
        </w:rPr>
        <w:t>Subject: case filing scrutiny services - fees, timelines and implementation guidelines - orders issued.</w:t>
      </w:r>
    </w:p>
    <w:p>
      <w:r>
        <w:rPr>
          <w:rFonts w:ascii="Calibri" w:hAnsi="Calibri" w:cs="Calibri" w:eastAsia="Calibri"/>
          <w:b w:val="0"/>
          <w:i w:val="0"/>
        </w:rPr>
        <w:t>Read: Proposals of the Head of Department, dated 20-03-2025.</w:t>
      </w:r>
    </w:p>
    <w:p>
      <w:r>
        <w:rPr>
          <w:rFonts w:ascii="Calibri" w:hAnsi="Calibri" w:cs="Calibri" w:eastAsia="Calibri"/>
          <w:b w:val="0"/>
          <w:i w:val="0"/>
        </w:rPr>
        <w:t>Fresh filings are scrutinised by the Registry for court fee, annexures, vakalat and limitation before they are numbered and listed. Defective filings are returned with a defect memo and must be re-presented.</w:t>
      </w:r>
    </w:p>
    <w:p>
      <w:r>
        <w:rPr>
          <w:rFonts w:ascii="Calibri" w:hAnsi="Calibri" w:cs="Calibri" w:eastAsia="Calibri"/>
          <w:b w:val="0"/>
          <w:i w:val="0"/>
        </w:rPr>
        <w:t>Defect memos were issued in a large share of filings and re-presentation often took weeks. Government revises the scrutiny charge, timelines and the appeal procedure.</w:t>
      </w:r>
    </w:p>
    <w:p>
      <w:r>
        <w:rPr>
          <w:rFonts w:ascii="Calibri" w:hAnsi="Calibri" w:cs="Calibri" w:eastAsia="Calibri"/>
          <w:b/>
          <w:i w:val="0"/>
          <w:sz w:val="26"/>
        </w:rPr>
        <w:t>ORDER</w:t>
      </w:r>
    </w:p>
    <w:p>
      <w:r>
        <w:rPr>
          <w:rFonts w:ascii="Calibri" w:hAnsi="Calibri" w:cs="Calibri" w:eastAsia="Calibri"/>
          <w:b w:val="0"/>
          <w:i w:val="0"/>
        </w:rPr>
        <w:t>1. The processing fee for a case filing scrutiny application is fixed at Rs 1,525.</w:t>
      </w:r>
    </w:p>
    <w:p>
      <w:r>
        <w:rPr>
          <w:rFonts w:ascii="Calibri" w:hAnsi="Calibri" w:cs="Calibri" w:eastAsia="Calibri"/>
          <w:b w:val="0"/>
          <w:i w:val="0"/>
        </w:rPr>
        <w:t>2. Every case filing scrutiny application shall be disposed of within 44 working days of receipt.</w:t>
      </w:r>
    </w:p>
    <w:p>
      <w:r>
        <w:rPr>
          <w:rFonts w:ascii="Calibri" w:hAnsi="Calibri" w:cs="Calibri" w:eastAsia="Calibri"/>
          <w:b w:val="0"/>
          <w:i w:val="0"/>
        </w:rPr>
        <w:t>3. Where the timeline is exceeded, a penalty of Rs 450 per day of delay shall be recovered from the officer responsible.</w:t>
      </w:r>
    </w:p>
    <w:p>
      <w:r>
        <w:rPr>
          <w:rFonts w:ascii="Calibri" w:hAnsi="Calibri" w:cs="Calibri" w:eastAsia="Calibri"/>
          <w:b w:val="0"/>
          <w:i w:val="0"/>
        </w:rPr>
        <w:t>4. The Deputy Registrar (Judicial) may approve cases of a value up to Rs 5,05,000 without further reference.</w:t>
      </w:r>
    </w:p>
    <w:p>
      <w:r>
        <w:rPr>
          <w:rFonts w:ascii="Calibri" w:hAnsi="Calibri" w:cs="Calibri" w:eastAsia="Calibri"/>
          <w:b w:val="0"/>
          <w:i w:val="0"/>
        </w:rPr>
        <w:t>5. An applicant aggrieved by the decision may appeal to the Registrar General within 21 days.</w:t>
      </w:r>
    </w:p>
    <w:p>
      <w:r>
        <w:rPr>
          <w:rFonts w:ascii="Calibri" w:hAnsi="Calibri" w:cs="Calibri" w:eastAsia="Calibri"/>
          <w:b w:val="0"/>
          <w:i w:val="0"/>
        </w:rPr>
        <w:t>6. These orders come into force from 19-05-2025.</w:t>
      </w:r>
    </w:p>
    <w:p>
      <w:r>
        <w:rPr>
          <w:rFonts w:ascii="Calibri" w:hAnsi="Calibri" w:cs="Calibri" w:eastAsia="Calibri"/>
          <w:b/>
          <w:i w:val="0"/>
          <w:sz w:val="26"/>
        </w:rPr>
        <w:t>District-wise sanctioned posts and allocation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cs="Calibri" w:eastAsia="Calibri"/>
                <w:b/>
                <w:i w:val="0"/>
              </w:rPr>
              <w:t>District</w:t>
            </w:r>
          </w:p>
        </w:tc>
        <w:tc>
          <w:tcPr>
            <w:tcW w:type="dxa" w:w="2880"/>
          </w:tcPr>
          <w:p>
            <w:r>
              <w:rPr>
                <w:rFonts w:ascii="Calibri" w:hAnsi="Calibri" w:cs="Calibri" w:eastAsia="Calibri"/>
                <w:b/>
                <w:i w:val="0"/>
              </w:rPr>
              <w:t>Sanctioned posts</w:t>
            </w:r>
          </w:p>
        </w:tc>
        <w:tc>
          <w:tcPr>
            <w:tcW w:type="dxa" w:w="2880"/>
          </w:tcPr>
          <w:p>
            <w:r>
              <w:rPr>
                <w:rFonts w:ascii="Calibri" w:hAnsi="Calibri" w:cs="Calibri" w:eastAsia="Calibri"/>
                <w:b/>
                <w:i w:val="0"/>
              </w:rPr>
              <w:t>Allocation (Rs lakh)</w:t>
            </w:r>
          </w:p>
        </w:tc>
      </w:tr>
      <w:tr>
        <w:tc>
          <w:tcPr>
            <w:tcW w:type="dxa" w:w="2880"/>
          </w:tcPr>
          <w:p>
            <w:r>
              <w:rPr>
                <w:rFonts w:ascii="Calibri" w:hAnsi="Calibri" w:cs="Calibri" w:eastAsia="Calibri"/>
                <w:b w:val="0"/>
                <w:i w:val="0"/>
              </w:rPr>
              <w:t>Hyderabad</w:t>
            </w:r>
          </w:p>
        </w:tc>
        <w:tc>
          <w:tcPr>
            <w:tcW w:type="dxa" w:w="2880"/>
          </w:tcPr>
          <w:p>
            <w:r>
              <w:rPr>
                <w:rFonts w:ascii="Calibri" w:hAnsi="Calibri" w:cs="Calibri" w:eastAsia="Calibri"/>
                <w:b w:val="0"/>
                <w:i w:val="0"/>
              </w:rPr>
              <w:t>239</w:t>
            </w:r>
          </w:p>
        </w:tc>
        <w:tc>
          <w:tcPr>
            <w:tcW w:type="dxa" w:w="2880"/>
          </w:tcPr>
          <w:p>
            <w:r>
              <w:rPr>
                <w:rFonts w:ascii="Calibri" w:hAnsi="Calibri" w:cs="Calibri" w:eastAsia="Calibri"/>
                <w:b w:val="0"/>
                <w:i w:val="0"/>
              </w:rPr>
              <w:t>51.2</w:t>
            </w:r>
          </w:p>
        </w:tc>
      </w:tr>
      <w:tr>
        <w:tc>
          <w:tcPr>
            <w:tcW w:type="dxa" w:w="2880"/>
          </w:tcPr>
          <w:p>
            <w:r>
              <w:rPr>
                <w:rFonts w:ascii="Calibri" w:hAnsi="Calibri" w:cs="Calibri" w:eastAsia="Calibri"/>
                <w:b w:val="0"/>
                <w:i w:val="0"/>
              </w:rPr>
              <w:t>Ranga Reddy</w:t>
            </w:r>
          </w:p>
        </w:tc>
        <w:tc>
          <w:tcPr>
            <w:tcW w:type="dxa" w:w="2880"/>
          </w:tcPr>
          <w:p>
            <w:r>
              <w:rPr>
                <w:rFonts w:ascii="Calibri" w:hAnsi="Calibri" w:cs="Calibri" w:eastAsia="Calibri"/>
                <w:b w:val="0"/>
                <w:i w:val="0"/>
              </w:rPr>
              <w:t>214</w:t>
            </w:r>
          </w:p>
        </w:tc>
        <w:tc>
          <w:tcPr>
            <w:tcW w:type="dxa" w:w="2880"/>
          </w:tcPr>
          <w:p>
            <w:r>
              <w:rPr>
                <w:rFonts w:ascii="Calibri" w:hAnsi="Calibri" w:cs="Calibri" w:eastAsia="Calibri"/>
                <w:b w:val="0"/>
                <w:i w:val="0"/>
              </w:rPr>
              <w:t>34.8</w:t>
            </w:r>
          </w:p>
        </w:tc>
      </w:tr>
      <w:tr>
        <w:tc>
          <w:tcPr>
            <w:tcW w:type="dxa" w:w="2880"/>
          </w:tcPr>
          <w:p>
            <w:r>
              <w:rPr>
                <w:rFonts w:ascii="Calibri" w:hAnsi="Calibri" w:cs="Calibri" w:eastAsia="Calibri"/>
                <w:b w:val="0"/>
                <w:i w:val="0"/>
              </w:rPr>
              <w:t>Medchal-Malkajgiri</w:t>
            </w:r>
          </w:p>
        </w:tc>
        <w:tc>
          <w:tcPr>
            <w:tcW w:type="dxa" w:w="2880"/>
          </w:tcPr>
          <w:p>
            <w:r>
              <w:rPr>
                <w:rFonts w:ascii="Calibri" w:hAnsi="Calibri" w:cs="Calibri" w:eastAsia="Calibri"/>
                <w:b w:val="0"/>
                <w:i w:val="0"/>
              </w:rPr>
              <w:t>181</w:t>
            </w:r>
          </w:p>
        </w:tc>
        <w:tc>
          <w:tcPr>
            <w:tcW w:type="dxa" w:w="2880"/>
          </w:tcPr>
          <w:p>
            <w:r>
              <w:rPr>
                <w:rFonts w:ascii="Calibri" w:hAnsi="Calibri" w:cs="Calibri" w:eastAsia="Calibri"/>
                <w:b w:val="0"/>
                <w:i w:val="0"/>
              </w:rPr>
              <w:t>19.7</w:t>
            </w:r>
          </w:p>
        </w:tc>
      </w:tr>
      <w:tr>
        <w:tc>
          <w:tcPr>
            <w:tcW w:type="dxa" w:w="2880"/>
          </w:tcPr>
          <w:p>
            <w:r>
              <w:rPr>
                <w:rFonts w:ascii="Calibri" w:hAnsi="Calibri" w:cs="Calibri" w:eastAsia="Calibri"/>
                <w:b w:val="0"/>
                <w:i w:val="0"/>
              </w:rPr>
              <w:t>Warangal</w:t>
            </w:r>
          </w:p>
        </w:tc>
        <w:tc>
          <w:tcPr>
            <w:tcW w:type="dxa" w:w="2880"/>
          </w:tcPr>
          <w:p>
            <w:r>
              <w:rPr>
                <w:rFonts w:ascii="Calibri" w:hAnsi="Calibri" w:cs="Calibri" w:eastAsia="Calibri"/>
                <w:b w:val="0"/>
                <w:i w:val="0"/>
              </w:rPr>
              <w:t>198</w:t>
            </w:r>
          </w:p>
        </w:tc>
        <w:tc>
          <w:tcPr>
            <w:tcW w:type="dxa" w:w="2880"/>
          </w:tcPr>
          <w:p>
            <w:r>
              <w:rPr>
                <w:rFonts w:ascii="Calibri" w:hAnsi="Calibri" w:cs="Calibri" w:eastAsia="Calibri"/>
                <w:b w:val="0"/>
                <w:i w:val="0"/>
              </w:rPr>
              <w:t>9.8</w:t>
            </w:r>
          </w:p>
        </w:tc>
      </w:tr>
      <w:tr>
        <w:tc>
          <w:tcPr>
            <w:tcW w:type="dxa" w:w="2880"/>
          </w:tcPr>
          <w:p>
            <w:r>
              <w:rPr>
                <w:rFonts w:ascii="Calibri" w:hAnsi="Calibri" w:cs="Calibri" w:eastAsia="Calibri"/>
                <w:b w:val="0"/>
                <w:i w:val="0"/>
              </w:rPr>
              <w:t>Karimnagar</w:t>
            </w:r>
          </w:p>
        </w:tc>
        <w:tc>
          <w:tcPr>
            <w:tcW w:type="dxa" w:w="2880"/>
          </w:tcPr>
          <w:p>
            <w:r>
              <w:rPr>
                <w:rFonts w:ascii="Calibri" w:hAnsi="Calibri" w:cs="Calibri" w:eastAsia="Calibri"/>
                <w:b w:val="0"/>
                <w:i w:val="0"/>
              </w:rPr>
              <w:t>65</w:t>
            </w:r>
          </w:p>
        </w:tc>
        <w:tc>
          <w:tcPr>
            <w:tcW w:type="dxa" w:w="2880"/>
          </w:tcPr>
          <w:p>
            <w:r>
              <w:rPr>
                <w:rFonts w:ascii="Calibri" w:hAnsi="Calibri" w:cs="Calibri" w:eastAsia="Calibri"/>
                <w:b w:val="0"/>
                <w:i w:val="0"/>
              </w:rPr>
              <w:t>73.8</w:t>
            </w:r>
          </w:p>
        </w:tc>
      </w:tr>
      <w:tr>
        <w:tc>
          <w:tcPr>
            <w:tcW w:type="dxa" w:w="2880"/>
          </w:tcPr>
          <w:p>
            <w:r>
              <w:rPr>
                <w:rFonts w:ascii="Calibri" w:hAnsi="Calibri" w:cs="Calibri" w:eastAsia="Calibri"/>
                <w:b w:val="0"/>
                <w:i w:val="0"/>
              </w:rPr>
              <w:t>Nalgonda</w:t>
            </w:r>
          </w:p>
        </w:tc>
        <w:tc>
          <w:tcPr>
            <w:tcW w:type="dxa" w:w="2880"/>
          </w:tcPr>
          <w:p>
            <w:r>
              <w:rPr>
                <w:rFonts w:ascii="Calibri" w:hAnsi="Calibri" w:cs="Calibri" w:eastAsia="Calibri"/>
                <w:b w:val="0"/>
                <w:i w:val="0"/>
              </w:rPr>
              <w:t>191</w:t>
            </w:r>
          </w:p>
        </w:tc>
        <w:tc>
          <w:tcPr>
            <w:tcW w:type="dxa" w:w="2880"/>
          </w:tcPr>
          <w:p>
            <w:r>
              <w:rPr>
                <w:rFonts w:ascii="Calibri" w:hAnsi="Calibri" w:cs="Calibri" w:eastAsia="Calibri"/>
                <w:b w:val="0"/>
                <w:i w:val="0"/>
              </w:rPr>
              <w:t>33.1</w:t>
            </w:r>
          </w:p>
        </w:tc>
      </w:tr>
      <w:tr>
        <w:tc>
          <w:tcPr>
            <w:tcW w:type="dxa" w:w="2880"/>
          </w:tcPr>
          <w:p>
            <w:r>
              <w:rPr>
                <w:rFonts w:ascii="Calibri" w:hAnsi="Calibri" w:cs="Calibri" w:eastAsia="Calibri"/>
                <w:b w:val="0"/>
                <w:i w:val="0"/>
              </w:rPr>
              <w:t>Khammam</w:t>
            </w:r>
          </w:p>
        </w:tc>
        <w:tc>
          <w:tcPr>
            <w:tcW w:type="dxa" w:w="2880"/>
          </w:tcPr>
          <w:p>
            <w:r>
              <w:rPr>
                <w:rFonts w:ascii="Calibri" w:hAnsi="Calibri" w:cs="Calibri" w:eastAsia="Calibri"/>
                <w:b w:val="0"/>
                <w:i w:val="0"/>
              </w:rPr>
              <w:t>264</w:t>
            </w:r>
          </w:p>
        </w:tc>
        <w:tc>
          <w:tcPr>
            <w:tcW w:type="dxa" w:w="2880"/>
          </w:tcPr>
          <w:p>
            <w:r>
              <w:rPr>
                <w:rFonts w:ascii="Calibri" w:hAnsi="Calibri" w:cs="Calibri" w:eastAsia="Calibri"/>
                <w:b w:val="0"/>
                <w:i w:val="0"/>
              </w:rPr>
              <w:t>98.9</w:t>
            </w:r>
          </w:p>
        </w:tc>
      </w:tr>
      <w:tr>
        <w:tc>
          <w:tcPr>
            <w:tcW w:type="dxa" w:w="2880"/>
          </w:tcPr>
          <w:p>
            <w:r>
              <w:rPr>
                <w:rFonts w:ascii="Calibri" w:hAnsi="Calibri" w:cs="Calibri" w:eastAsia="Calibri"/>
                <w:b w:val="0"/>
                <w:i w:val="0"/>
              </w:rPr>
              <w:t>Nizamabad</w:t>
            </w:r>
          </w:p>
        </w:tc>
        <w:tc>
          <w:tcPr>
            <w:tcW w:type="dxa" w:w="2880"/>
          </w:tcPr>
          <w:p>
            <w:r>
              <w:rPr>
                <w:rFonts w:ascii="Calibri" w:hAnsi="Calibri" w:cs="Calibri" w:eastAsia="Calibri"/>
                <w:b w:val="0"/>
                <w:i w:val="0"/>
              </w:rPr>
              <w:t>221</w:t>
            </w:r>
          </w:p>
        </w:tc>
        <w:tc>
          <w:tcPr>
            <w:tcW w:type="dxa" w:w="2880"/>
          </w:tcPr>
          <w:p>
            <w:r>
              <w:rPr>
                <w:rFonts w:ascii="Calibri" w:hAnsi="Calibri" w:cs="Calibri" w:eastAsia="Calibri"/>
                <w:b w:val="0"/>
                <w:i w:val="0"/>
              </w:rPr>
              <w:t>104.0</w:t>
            </w:r>
          </w:p>
        </w:tc>
      </w:tr>
      <w:tr>
        <w:tc>
          <w:tcPr>
            <w:tcW w:type="dxa" w:w="2880"/>
          </w:tcPr>
          <w:p>
            <w:r>
              <w:rPr>
                <w:rFonts w:ascii="Calibri" w:hAnsi="Calibri" w:cs="Calibri" w:eastAsia="Calibri"/>
                <w:b w:val="0"/>
                <w:i w:val="0"/>
              </w:rPr>
              <w:t>Adilabad</w:t>
            </w:r>
          </w:p>
        </w:tc>
        <w:tc>
          <w:tcPr>
            <w:tcW w:type="dxa" w:w="2880"/>
          </w:tcPr>
          <w:p>
            <w:r>
              <w:rPr>
                <w:rFonts w:ascii="Calibri" w:hAnsi="Calibri" w:cs="Calibri" w:eastAsia="Calibri"/>
                <w:b w:val="0"/>
                <w:i w:val="0"/>
              </w:rPr>
              <w:t>300</w:t>
            </w:r>
          </w:p>
        </w:tc>
        <w:tc>
          <w:tcPr>
            <w:tcW w:type="dxa" w:w="2880"/>
          </w:tcPr>
          <w:p>
            <w:r>
              <w:rPr>
                <w:rFonts w:ascii="Calibri" w:hAnsi="Calibri" w:cs="Calibri" w:eastAsia="Calibri"/>
                <w:b w:val="0"/>
                <w:i w:val="0"/>
              </w:rPr>
              <w:t>105.6</w:t>
            </w:r>
          </w:p>
        </w:tc>
      </w:tr>
      <w:tr>
        <w:tc>
          <w:tcPr>
            <w:tcW w:type="dxa" w:w="2880"/>
          </w:tcPr>
          <w:p>
            <w:r>
              <w:rPr>
                <w:rFonts w:ascii="Calibri" w:hAnsi="Calibri" w:cs="Calibri" w:eastAsia="Calibri"/>
                <w:b w:val="0"/>
                <w:i w:val="0"/>
              </w:rPr>
              <w:t>Mahabubnagar</w:t>
            </w:r>
          </w:p>
        </w:tc>
        <w:tc>
          <w:tcPr>
            <w:tcW w:type="dxa" w:w="2880"/>
          </w:tcPr>
          <w:p>
            <w:r>
              <w:rPr>
                <w:rFonts w:ascii="Calibri" w:hAnsi="Calibri" w:cs="Calibri" w:eastAsia="Calibri"/>
                <w:b w:val="0"/>
                <w:i w:val="0"/>
              </w:rPr>
              <w:t>50</w:t>
            </w:r>
          </w:p>
        </w:tc>
        <w:tc>
          <w:tcPr>
            <w:tcW w:type="dxa" w:w="2880"/>
          </w:tcPr>
          <w:p>
            <w:r>
              <w:rPr>
                <w:rFonts w:ascii="Calibri" w:hAnsi="Calibri" w:cs="Calibri" w:eastAsia="Calibri"/>
                <w:b w:val="0"/>
                <w:i w:val="0"/>
              </w:rPr>
              <w:t>110.1</w:t>
            </w:r>
          </w:p>
        </w:tc>
      </w:tr>
    </w:tbl>
    <w:p>
      <w:r>
        <w:rPr>
          <w:rFonts w:ascii="Calibri" w:hAnsi="Calibri" w:cs="Calibri" w:eastAsia="Calibri"/>
          <w:b w:val="0"/>
          <w:i w:val="0"/>
        </w:rPr>
        <w:t>District Collectors shall review progress every month and send a report to the Head of Department. The status of every application shall be visible to citizens on the online portal, and the reasons for any rejection shall be recorded in writing.</w:t>
      </w:r>
    </w:p>
    <w:p>
      <w:r>
        <w:rPr>
          <w:rFonts w:ascii="Calibri" w:hAnsi="Calibri" w:cs="Calibri" w:eastAsia="Calibri"/>
          <w:b w:val="0"/>
          <w:i w:val="0"/>
        </w:rPr>
        <w:t>A grievance register shall be maintained in every office. Grievances shall be acknowledged on the day of receipt and answered in writing.</w:t>
      </w:r>
    </w:p>
    <w:p>
      <w:r>
        <w:rPr>
          <w:rFonts w:ascii="Calibri" w:hAnsi="Calibri" w:cs="Calibri" w:eastAsia="Calibri"/>
          <w:b w:val="0"/>
          <w:i w:val="0"/>
        </w:rPr>
        <w:t>By order and in the name of the Governor, Principal Secretary to Government (fictitious).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registry_go_2025_en</dc:title>
  <dc:subject/>
  <dc:creator>VirtualAI benchmark generator</dc:creator>
  <cp:keywords/>
  <dc:description>generated by python-docx</dc:description>
  <cp:lastModifiedBy>VirtualAI benchmark generator</cp:lastModifiedBy>
  <cp:revision>1</cp:revision>
  <dcterms:created xsi:type="dcterms:W3CDTF">2026-01-01T00:00:00Z</dcterms:created>
  <dcterms:modified xsi:type="dcterms:W3CDTF">2026-01-01T00:00:00Z</dcterms:modified>
  <cp:category/>
</cp:coreProperties>
</file>