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8"/>
        </w:rPr>
        <w:t>CLINICAL AI APPLICATION WORK PRODUCT EXPORT</w:t>
      </w:r>
    </w:p>
    <w:p>
      <w:pPr>
        <w:spacing w:after="480"/>
      </w:pPr>
      <w:r>
        <w:rPr>
          <w:i/>
          <w:color w:val="475569"/>
          <w:sz w:val="26"/>
        </w:rPr>
        <w:t>Brahmo Drug Safety Engine — Technical Research &amp; Project Summary Report</w:t>
      </w:r>
    </w:p>
    <w:tbl>
      <w:tblPr>
        <w:tblW w:type="auto" w:w="0"/>
        <w:tblLayout w:type="fixed"/>
        <w:tblLook w:firstColumn="1" w:firstRow="1" w:lastColumn="0" w:lastRow="0" w:noHBand="0" w:noVBand="1" w:val="04A0"/>
      </w:tblPr>
      <w:tblGrid>
        <w:gridCol w:w="2592"/>
        <w:gridCol w:w="6768"/>
      </w:tblGrid>
      <w:tr>
        <w:tc>
          <w:tcPr>
            <w:tcW w:type="dxa" w:w="4680"/>
            <w:shd w:fill="F1F5F9"/>
            <w:tcMar>
              <w:top w:w="80" w:type="dxa"/>
              <w:bottom w:w="80" w:type="dxa"/>
              <w:left w:w="120" w:type="dxa"/>
              <w:right w:w="120" w:type="dxa"/>
            </w:tcMar>
          </w:tcPr>
          <w:p>
            <w:pPr>
              <w:spacing w:after="0"/>
            </w:pPr>
            <w:r>
              <w:rPr>
                <w:b/>
                <w:sz w:val="20"/>
              </w:rPr>
              <w:t>Lead Systems Architect</w:t>
            </w:r>
          </w:p>
        </w:tc>
        <w:tc>
          <w:tcPr>
            <w:tcW w:type="dxa" w:w="4680"/>
            <w:shd w:fill="F8FAFC"/>
            <w:tcMar>
              <w:top w:w="80" w:type="dxa"/>
              <w:bottom w:w="80" w:type="dxa"/>
              <w:left w:w="120" w:type="dxa"/>
              <w:right w:w="120" w:type="dxa"/>
            </w:tcMar>
          </w:tcPr>
          <w:p>
            <w:pPr>
              <w:spacing w:after="0"/>
            </w:pPr>
            <w:r>
              <w:rPr>
                <w:sz w:val="20"/>
              </w:rPr>
              <w:t>Harsh Chauhan</w:t>
            </w:r>
          </w:p>
        </w:tc>
      </w:tr>
      <w:tr>
        <w:tc>
          <w:tcPr>
            <w:tcW w:type="dxa" w:w="4680"/>
            <w:shd w:fill="F1F5F9"/>
            <w:tcMar>
              <w:top w:w="80" w:type="dxa"/>
              <w:bottom w:w="80" w:type="dxa"/>
              <w:left w:w="120" w:type="dxa"/>
              <w:right w:w="120" w:type="dxa"/>
            </w:tcMar>
          </w:tcPr>
          <w:p>
            <w:pPr>
              <w:spacing w:after="0"/>
            </w:pPr>
            <w:r>
              <w:rPr>
                <w:b/>
                <w:sz w:val="20"/>
              </w:rPr>
              <w:t>Target Deployment</w:t>
            </w:r>
          </w:p>
        </w:tc>
        <w:tc>
          <w:tcPr>
            <w:tcW w:type="dxa" w:w="4680"/>
            <w:shd w:fill="F8FAFC"/>
            <w:tcMar>
              <w:top w:w="80" w:type="dxa"/>
              <w:bottom w:w="80" w:type="dxa"/>
              <w:left w:w="120" w:type="dxa"/>
              <w:right w:w="120" w:type="dxa"/>
            </w:tcMar>
          </w:tcPr>
          <w:p>
            <w:pPr>
              <w:spacing w:after="0"/>
            </w:pPr>
            <w:r>
              <w:rPr>
                <w:sz w:val="20"/>
              </w:rPr>
              <w:t>Astroum AI Clinical Suite Integration</w:t>
            </w:r>
          </w:p>
        </w:tc>
      </w:tr>
      <w:tr>
        <w:tc>
          <w:tcPr>
            <w:tcW w:type="dxa" w:w="4680"/>
            <w:shd w:fill="F1F5F9"/>
            <w:tcMar>
              <w:top w:w="80" w:type="dxa"/>
              <w:bottom w:w="80" w:type="dxa"/>
              <w:left w:w="120" w:type="dxa"/>
              <w:right w:w="120" w:type="dxa"/>
            </w:tcMar>
          </w:tcPr>
          <w:p>
            <w:pPr>
              <w:spacing w:after="0"/>
            </w:pPr>
            <w:r>
              <w:rPr>
                <w:b/>
                <w:sz w:val="20"/>
              </w:rPr>
              <w:t>System Environment</w:t>
            </w:r>
          </w:p>
        </w:tc>
        <w:tc>
          <w:tcPr>
            <w:tcW w:type="dxa" w:w="4680"/>
            <w:shd w:fill="F8FAFC"/>
            <w:tcMar>
              <w:top w:w="80" w:type="dxa"/>
              <w:bottom w:w="80" w:type="dxa"/>
              <w:left w:w="120" w:type="dxa"/>
              <w:right w:w="120" w:type="dxa"/>
            </w:tcMar>
          </w:tcPr>
          <w:p>
            <w:pPr>
              <w:spacing w:after="0"/>
            </w:pPr>
            <w:r>
              <w:rPr>
                <w:sz w:val="20"/>
              </w:rPr>
              <w:t>Next.js 14+ (App Router), TypeScript, Supabase (PostgreSQL), Grok LLM Tier</w:t>
            </w:r>
          </w:p>
        </w:tc>
      </w:tr>
      <w:tr>
        <w:tc>
          <w:tcPr>
            <w:tcW w:type="dxa" w:w="4680"/>
            <w:shd w:fill="F1F5F9"/>
            <w:tcMar>
              <w:top w:w="80" w:type="dxa"/>
              <w:bottom w:w="80" w:type="dxa"/>
              <w:left w:w="120" w:type="dxa"/>
              <w:right w:w="120" w:type="dxa"/>
            </w:tcMar>
          </w:tcPr>
          <w:p>
            <w:pPr>
              <w:spacing w:after="0"/>
            </w:pPr>
            <w:r>
              <w:rPr>
                <w:b/>
                <w:sz w:val="20"/>
              </w:rPr>
              <w:t>Document Version</w:t>
            </w:r>
          </w:p>
        </w:tc>
        <w:tc>
          <w:tcPr>
            <w:tcW w:type="dxa" w:w="4680"/>
            <w:shd w:fill="F8FAFC"/>
            <w:tcMar>
              <w:top w:w="80" w:type="dxa"/>
              <w:bottom w:w="80" w:type="dxa"/>
              <w:left w:w="120" w:type="dxa"/>
              <w:right w:w="120" w:type="dxa"/>
            </w:tcMar>
          </w:tcPr>
          <w:p>
            <w:pPr>
              <w:spacing w:after="0"/>
            </w:pPr>
            <w:r>
              <w:rPr>
                <w:sz w:val="20"/>
              </w:rPr>
              <w:t>v1.0.0 (Production-Ready Release Spec)</w:t>
            </w:r>
          </w:p>
        </w:tc>
      </w:tr>
    </w:tbl>
    <w:p>
      <w:pPr>
        <w:spacing w:after="240"/>
      </w:pPr>
    </w:p>
    <w:p>
      <w:pPr>
        <w:keepNext/>
        <w:spacing w:before="360" w:after="120"/>
      </w:pPr>
      <w:r>
        <w:rPr>
          <w:rFonts w:ascii="Arial" w:hAnsi="Arial"/>
          <w:b/>
          <w:color w:val="1E3A8A"/>
          <w:sz w:val="28"/>
        </w:rPr>
        <w:t>1. Executive Executive Summary &amp; Intent</w:t>
      </w:r>
    </w:p>
    <w:p>
      <w:r>
        <w:t>The Brahmo Drug Safety Engine represents a mission-critical infrastructure layer designed to sit between large language models (LLMs) and clinical practitioners. Recognizing that generative AI systems are susceptible to hallucinations, structural omission, and logic variance, this application introduces an absolute, zero-dependency deterministic checking framework. By running mathematical calculations, drug interaction pairs, direct allergy markers, and complex therapeutic multi-drug checks in a rigorous native codebase prior to prompt construction, the architecture strips away risk, establishing non-overridable clinical boundaries for safe computer-aided prescription workflows.</w:t>
      </w:r>
    </w:p>
    <w:p>
      <w:pPr>
        <w:keepNext/>
        <w:spacing w:before="360" w:after="120"/>
      </w:pPr>
      <w:r>
        <w:rPr>
          <w:rFonts w:ascii="Arial" w:hAnsi="Arial"/>
          <w:b/>
          <w:color w:val="1E3A8A"/>
          <w:sz w:val="28"/>
        </w:rPr>
        <w:t>2. Architectural Design &amp; Pipeline Integration</w:t>
      </w:r>
    </w:p>
    <w:p>
      <w:r>
        <w:t>The overall engineering execution framework operates as an active pipeline, flowing sequentially across four structural layers:</w:t>
      </w:r>
    </w:p>
    <w:p>
      <w:pPr>
        <w:pStyle w:val="ListBullet"/>
      </w:pPr>
      <w:r>
        <w:rPr>
          <w:b/>
        </w:rPr>
        <w:t xml:space="preserve">Data Normalization &amp; Entry Guardrails: </w:t>
      </w:r>
      <w:r>
        <w:t>User-submitted or doctor-typed prescription inputs undergo immediate cleaning via custom regex operations to eliminate trailing whitespace, non-alphanumeric characters, and lexical mismatches before executing any database lookups.</w:t>
      </w:r>
    </w:p>
    <w:p>
      <w:pPr>
        <w:pStyle w:val="ListBullet"/>
      </w:pPr>
      <w:r>
        <w:rPr>
          <w:b/>
        </w:rPr>
        <w:t xml:space="preserve">Deterministic System Engine Evaluation: </w:t>
      </w:r>
      <w:r>
        <w:t>The software bypasses the LLM entirely to process patient files directly against isolated schema structures. This covers standard Drug-to-Drug Interactions (DDI), Cross-Reactivity Allergy matrices, and exact renal dosing function thresholds.</w:t>
      </w:r>
    </w:p>
    <w:p>
      <w:pPr>
        <w:pStyle w:val="ListBullet"/>
      </w:pPr>
      <w:r>
        <w:rPr>
          <w:b/>
        </w:rPr>
        <w:t xml:space="preserve">Defensive Context Structuring: </w:t>
      </w:r>
      <w:r>
        <w:t>Active alerts are prioritized by clinical importance weights. High-priority items are converted into explicit Markdown text containing warning symbols, enforcement actions, and mandatory clinical strategies.</w:t>
      </w:r>
    </w:p>
    <w:p>
      <w:pPr>
        <w:pStyle w:val="ListBullet"/>
      </w:pPr>
      <w:r>
        <w:rPr>
          <w:b/>
        </w:rPr>
        <w:t xml:space="preserve">Grok LLM Pipeline Orchestration: </w:t>
      </w:r>
      <w:r>
        <w:t>The structured restraint text blocks are dynamically injected directly into the system prompt configuration. This mandates complete adherence from the xAI Grok deployment, preventing clinical errors during alternative drug evaluations.</w:t>
      </w:r>
    </w:p>
    <w:p>
      <w:pPr>
        <w:keepNext/>
        <w:spacing w:before="360" w:after="120"/>
      </w:pPr>
      <w:r>
        <w:rPr>
          <w:rFonts w:ascii="Arial" w:hAnsi="Arial"/>
          <w:b/>
          <w:color w:val="1E3A8A"/>
          <w:sz w:val="28"/>
        </w:rPr>
        <w:t>3. Verification Simulation &amp; Math Discrepancy Analysis</w:t>
      </w:r>
    </w:p>
    <w:p>
      <w:r>
        <w:t>During formal integration testing and verification of the system's isolated analytical modules, a crucial baseline discrepancy was identified within the original assessment material constraints.</w:t>
      </w:r>
    </w:p>
    <w:tbl>
      <w:tblPr>
        <w:tblW w:type="auto" w:w="0"/>
        <w:tblLayout w:type="fixed"/>
        <w:tblLook w:firstColumn="1" w:firstRow="1" w:lastColumn="0" w:lastRow="0" w:noHBand="0" w:noVBand="1" w:val="04A0"/>
      </w:tblPr>
      <w:tblGrid>
        <w:gridCol w:w="9360"/>
      </w:tblGrid>
      <w:tr>
        <w:tc>
          <w:tcPr>
            <w:tcW w:type="dxa" w:w="9360"/>
            <w:shd w:fill="FEF2F2"/>
            <w:tcBorders>
              <w:left w:val="single" w:sz="36" w:space="0" w:color="EF4444"/>
              <w:top w:val="none"/>
              <w:bottom w:val="none"/>
              <w:right w:val="none"/>
            </w:tcBorders>
            <w:tcMar>
              <w:top w:w="140" w:type="dxa"/>
              <w:bottom w:w="140" w:type="dxa"/>
              <w:left w:w="180" w:type="dxa"/>
              <w:right w:w="180" w:type="dxa"/>
            </w:tcMar>
          </w:tcPr>
          <w:p>
            <w:pPr>
              <w:spacing w:after="0"/>
            </w:pPr>
            <w:r>
              <w:rPr>
                <w:i/>
                <w:color w:val="991B1B"/>
                <w:sz w:val="20"/>
              </w:rPr>
              <w:t>TECHNICAL DISCREPANCY NOTE:</w:t>
              <w:br/>
              <w:t>During the unit execution simulation for the calculateEGFR module, I noted a discrepancy in the provided instructions. The prompt expected an eGFR of 31.2 for Patient 1 and 18.0 for Patient 7. However, the deterministic CKD-EPI 2021 logic correctly evaluates to 25.7 and 18.7 based on the provided inputs (Creatinine: 2.1, Age: 65, Female). I validated that the mathematical outputs are correct and left the safety engine logic exactly as provided.</w:t>
            </w:r>
          </w:p>
        </w:tc>
      </w:tr>
    </w:tbl>
    <w:p>
      <w:pPr>
        <w:spacing w:after="80"/>
      </w:pPr>
    </w:p>
    <w:p>
      <w:r>
        <w:t>A comprehensive mathematical proof confirms that the codebase correctly calculates kidney performance according to global standard mathematical standards:</w:t>
      </w:r>
    </w:p>
    <w:p>
      <w:pPr>
        <w:pStyle w:val="ListBullet"/>
      </w:pPr>
      <w:r>
        <w:rPr>
          <w:b/>
        </w:rPr>
        <w:t xml:space="preserve">Patient 1 Proof: </w:t>
      </w:r>
      <w:r>
        <w:t>Given a 65-year-old female patient presenting a Serum Creatinine profile of 2.1 mg/dL, the calculation evaluates as:</w:t>
        <w:br/>
      </w:r>
      <w:r>
        <w:t xml:space="preserve">  • kappa = 0.7, alpha = -0.241, multiplier = 1.012</w:t>
        <w:br/>
      </w:r>
      <w:r>
        <w:t xml:space="preserve">  • Term Min: (2.1 / 0.7) = 3.0 -&gt; min(3.0, 1) = 1.0 ^ (-0.241) = 1.0</w:t>
        <w:br/>
      </w:r>
      <w:r>
        <w:t xml:space="preserve">  • Term Max: max(3.0, 1) = 3.0 ^ (-1.200) = 0.2679</w:t>
        <w:br/>
      </w:r>
      <w:r>
        <w:t xml:space="preserve">  • Age Factor: 0.9938 ^ 65 = 0.6672</w:t>
        <w:br/>
      </w:r>
      <w:r>
        <w:t xml:space="preserve">  • eGFR Product: 142 * 1.0 * 0.2679 * 0.6672 * 1.012 = 25.7 mL/min/1.73m² (Correct Math).</w:t>
      </w:r>
    </w:p>
    <w:p>
      <w:pPr>
        <w:pStyle w:val="ListBullet"/>
      </w:pPr>
      <w:r>
        <w:rPr>
          <w:b/>
        </w:rPr>
        <w:t xml:space="preserve">Patient 7 Proof: </w:t>
      </w:r>
      <w:r>
        <w:t xml:space="preserve">Given a 35-year-old female patient presenting a Serum Creatinine profile of 3.2 mg/dL, the calculation correctly converges to </w:t>
      </w:r>
      <w:r>
        <w:rPr>
          <w:b/>
        </w:rPr>
        <w:t>18.7 mL/min/1.73m²</w:t>
      </w:r>
      <w:r>
        <w:t xml:space="preserve"> instead of the rough structural placeholder baseline estimation of 18.0.</w:t>
      </w:r>
    </w:p>
    <w:p>
      <w:pPr>
        <w:keepNext/>
        <w:spacing w:before="360" w:after="120"/>
      </w:pPr>
      <w:r>
        <w:rPr>
          <w:rFonts w:ascii="Arial" w:hAnsi="Arial"/>
          <w:b/>
          <w:color w:val="1E3A8A"/>
          <w:sz w:val="28"/>
        </w:rPr>
        <w:t>4. Implementation of Core Safety Checks</w:t>
      </w:r>
    </w:p>
    <w:p>
      <w:r>
        <w:t>To protect patients against complex prescription liabilities, the engine runs the following four native verification steps:</w:t>
      </w:r>
    </w:p>
    <w:tbl>
      <w:tblPr>
        <w:tblW w:type="auto" w:w="0"/>
        <w:tblLayout w:type="fixed"/>
        <w:tblLook w:firstColumn="1" w:firstRow="1" w:lastColumn="0" w:lastRow="0" w:noHBand="0" w:noVBand="1" w:val="04A0"/>
      </w:tblPr>
      <w:tblGrid>
        <w:gridCol w:w="2160"/>
        <w:gridCol w:w="1728"/>
        <w:gridCol w:w="5472"/>
      </w:tblGrid>
      <w:tr>
        <w:tc>
          <w:tcPr>
            <w:tcW w:type="dxa" w:w="3120"/>
            <w:shd w:fill="1E3A8A"/>
            <w:tcMar>
              <w:top w:w="100" w:type="dxa"/>
              <w:bottom w:w="100" w:type="dxa"/>
              <w:left w:w="120" w:type="dxa"/>
              <w:right w:w="120" w:type="dxa"/>
            </w:tcMar>
          </w:tcPr>
          <w:p>
            <w:r>
              <w:rPr>
                <w:b/>
                <w:color w:val="FFFFFF"/>
                <w:sz w:val="20"/>
              </w:rPr>
              <w:t>Module Check</w:t>
            </w:r>
          </w:p>
        </w:tc>
        <w:tc>
          <w:tcPr>
            <w:tcW w:type="dxa" w:w="3120"/>
            <w:shd w:fill="1E3A8A"/>
            <w:tcMar>
              <w:top w:w="100" w:type="dxa"/>
              <w:bottom w:w="100" w:type="dxa"/>
              <w:left w:w="120" w:type="dxa"/>
              <w:right w:w="120" w:type="dxa"/>
            </w:tcMar>
          </w:tcPr>
          <w:p>
            <w:r>
              <w:rPr>
                <w:b/>
                <w:color w:val="FFFFFF"/>
                <w:sz w:val="20"/>
              </w:rPr>
              <w:t>Enforcement</w:t>
            </w:r>
          </w:p>
        </w:tc>
        <w:tc>
          <w:tcPr>
            <w:tcW w:type="dxa" w:w="3120"/>
            <w:shd w:fill="1E3A8A"/>
            <w:tcMar>
              <w:top w:w="100" w:type="dxa"/>
              <w:bottom w:w="100" w:type="dxa"/>
              <w:left w:w="120" w:type="dxa"/>
              <w:right w:w="120" w:type="dxa"/>
            </w:tcMar>
          </w:tcPr>
          <w:p>
            <w:r>
              <w:rPr>
                <w:b/>
                <w:color w:val="FFFFFF"/>
                <w:sz w:val="20"/>
              </w:rPr>
              <w:t>Clinical Operational Mechanism</w:t>
            </w:r>
          </w:p>
        </w:tc>
      </w:tr>
      <w:tr>
        <w:tc>
          <w:tcPr>
            <w:tcW w:type="dxa" w:w="3120"/>
            <w:shd w:fill="FFFFFF"/>
            <w:tcMar>
              <w:top w:w="100" w:type="dxa"/>
              <w:bottom w:w="100" w:type="dxa"/>
              <w:left w:w="120" w:type="dxa"/>
              <w:right w:w="120" w:type="dxa"/>
            </w:tcMar>
          </w:tcPr>
          <w:p>
            <w:pPr>
              <w:spacing w:after="0"/>
            </w:pPr>
            <w:r>
              <w:rPr>
                <w:sz w:val="19"/>
              </w:rPr>
              <w:t>Drug-Drug Interactions</w:t>
            </w:r>
          </w:p>
        </w:tc>
        <w:tc>
          <w:tcPr>
            <w:tcW w:type="dxa" w:w="3120"/>
            <w:shd w:fill="FFFFFF"/>
            <w:tcMar>
              <w:top w:w="100" w:type="dxa"/>
              <w:bottom w:w="100" w:type="dxa"/>
              <w:left w:w="120" w:type="dxa"/>
              <w:right w:w="120" w:type="dxa"/>
            </w:tcMar>
          </w:tcPr>
          <w:p>
            <w:pPr>
              <w:spacing w:after="0"/>
            </w:pPr>
            <w:r>
              <w:rPr>
                <w:sz w:val="19"/>
              </w:rPr>
              <w:t>Dynamic Warning</w:t>
            </w:r>
          </w:p>
        </w:tc>
        <w:tc>
          <w:tcPr>
            <w:tcW w:type="dxa" w:w="3120"/>
            <w:shd w:fill="FFFFFF"/>
            <w:tcMar>
              <w:top w:w="100" w:type="dxa"/>
              <w:bottom w:w="100" w:type="dxa"/>
              <w:left w:w="120" w:type="dxa"/>
              <w:right w:w="120" w:type="dxa"/>
            </w:tcMar>
          </w:tcPr>
          <w:p>
            <w:pPr>
              <w:spacing w:after="0"/>
            </w:pPr>
            <w:r>
              <w:rPr>
                <w:sz w:val="19"/>
              </w:rPr>
              <w:t>Iterates across current active medication lists to detect specific database-mapped dual flags, fetching mechanical context directly.</w:t>
            </w:r>
          </w:p>
        </w:tc>
      </w:tr>
      <w:tr>
        <w:tc>
          <w:tcPr>
            <w:tcW w:type="dxa" w:w="3120"/>
            <w:shd w:fill="F8FAFC"/>
            <w:tcMar>
              <w:top w:w="100" w:type="dxa"/>
              <w:bottom w:w="100" w:type="dxa"/>
              <w:left w:w="120" w:type="dxa"/>
              <w:right w:w="120" w:type="dxa"/>
            </w:tcMar>
          </w:tcPr>
          <w:p>
            <w:pPr>
              <w:spacing w:after="0"/>
            </w:pPr>
            <w:r>
              <w:rPr>
                <w:sz w:val="19"/>
              </w:rPr>
              <w:t>Allergy Cross-Reactivity</w:t>
            </w:r>
          </w:p>
        </w:tc>
        <w:tc>
          <w:tcPr>
            <w:tcW w:type="dxa" w:w="3120"/>
            <w:shd w:fill="F8FAFC"/>
            <w:tcMar>
              <w:top w:w="100" w:type="dxa"/>
              <w:bottom w:w="100" w:type="dxa"/>
              <w:left w:w="120" w:type="dxa"/>
              <w:right w:w="120" w:type="dxa"/>
            </w:tcMar>
          </w:tcPr>
          <w:p>
            <w:pPr>
              <w:spacing w:after="0"/>
            </w:pPr>
            <w:r>
              <w:rPr>
                <w:sz w:val="19"/>
              </w:rPr>
              <w:t>Bi-directional Block</w:t>
            </w:r>
          </w:p>
        </w:tc>
        <w:tc>
          <w:tcPr>
            <w:tcW w:type="dxa" w:w="3120"/>
            <w:shd w:fill="F8FAFC"/>
            <w:tcMar>
              <w:top w:w="100" w:type="dxa"/>
              <w:bottom w:w="100" w:type="dxa"/>
              <w:left w:w="120" w:type="dxa"/>
              <w:right w:w="120" w:type="dxa"/>
            </w:tcMar>
          </w:tcPr>
          <w:p>
            <w:pPr>
              <w:spacing w:after="0"/>
            </w:pPr>
            <w:r>
              <w:rPr>
                <w:sz w:val="19"/>
              </w:rPr>
              <w:t>Evaluates drug-to-class and secondary class-to-class structures to catch cross-sensitivities (e.g., penicillin history vs. cephalosporins).</w:t>
            </w:r>
          </w:p>
        </w:tc>
      </w:tr>
      <w:tr>
        <w:tc>
          <w:tcPr>
            <w:tcW w:type="dxa" w:w="3120"/>
            <w:shd w:fill="FFFFFF"/>
            <w:tcMar>
              <w:top w:w="100" w:type="dxa"/>
              <w:bottom w:w="100" w:type="dxa"/>
              <w:left w:w="120" w:type="dxa"/>
              <w:right w:w="120" w:type="dxa"/>
            </w:tcMar>
          </w:tcPr>
          <w:p>
            <w:pPr>
              <w:spacing w:after="0"/>
            </w:pPr>
            <w:r>
              <w:rPr>
                <w:sz w:val="19"/>
              </w:rPr>
              <w:t>Renal Dosing Guard</w:t>
            </w:r>
          </w:p>
        </w:tc>
        <w:tc>
          <w:tcPr>
            <w:tcW w:type="dxa" w:w="3120"/>
            <w:shd w:fill="FFFFFF"/>
            <w:tcMar>
              <w:top w:w="100" w:type="dxa"/>
              <w:bottom w:w="100" w:type="dxa"/>
              <w:left w:w="120" w:type="dxa"/>
              <w:right w:w="120" w:type="dxa"/>
            </w:tcMar>
          </w:tcPr>
          <w:p>
            <w:pPr>
              <w:spacing w:after="0"/>
            </w:pPr>
            <w:r>
              <w:rPr>
                <w:sz w:val="19"/>
              </w:rPr>
              <w:t>Hard System Cutoff</w:t>
            </w:r>
          </w:p>
        </w:tc>
        <w:tc>
          <w:tcPr>
            <w:tcW w:type="dxa" w:w="3120"/>
            <w:shd w:fill="FFFFFF"/>
            <w:tcMar>
              <w:top w:w="100" w:type="dxa"/>
              <w:bottom w:w="100" w:type="dxa"/>
              <w:left w:w="120" w:type="dxa"/>
              <w:right w:w="120" w:type="dxa"/>
            </w:tcMar>
          </w:tcPr>
          <w:p>
            <w:pPr>
              <w:spacing w:after="0"/>
            </w:pPr>
            <w:r>
              <w:rPr>
                <w:sz w:val="19"/>
              </w:rPr>
              <w:t>Compares real-time calculated CKD-EPI metrics directly against explicit structural threshold limitations parsed from JSON configuration rules.</w:t>
            </w:r>
          </w:p>
        </w:tc>
      </w:tr>
      <w:tr>
        <w:tc>
          <w:tcPr>
            <w:tcW w:type="dxa" w:w="3120"/>
            <w:shd w:fill="F8FAFC"/>
            <w:tcMar>
              <w:top w:w="100" w:type="dxa"/>
              <w:bottom w:w="100" w:type="dxa"/>
              <w:left w:w="120" w:type="dxa"/>
              <w:right w:w="120" w:type="dxa"/>
            </w:tcMar>
          </w:tcPr>
          <w:p>
            <w:pPr>
              <w:spacing w:after="0"/>
            </w:pPr>
            <w:r>
              <w:rPr>
                <w:sz w:val="19"/>
              </w:rPr>
              <w:t>Triple Whammy Protection</w:t>
            </w:r>
          </w:p>
        </w:tc>
        <w:tc>
          <w:tcPr>
            <w:tcW w:type="dxa" w:w="3120"/>
            <w:shd w:fill="F8FAFC"/>
            <w:tcMar>
              <w:top w:w="100" w:type="dxa"/>
              <w:bottom w:w="100" w:type="dxa"/>
              <w:left w:w="120" w:type="dxa"/>
              <w:right w:w="120" w:type="dxa"/>
            </w:tcMar>
          </w:tcPr>
          <w:p>
            <w:pPr>
              <w:spacing w:after="0"/>
            </w:pPr>
            <w:r>
              <w:rPr>
                <w:sz w:val="19"/>
              </w:rPr>
              <w:t>Non-Overridable Block</w:t>
            </w:r>
          </w:p>
        </w:tc>
        <w:tc>
          <w:tcPr>
            <w:tcW w:type="dxa" w:w="3120"/>
            <w:shd w:fill="F8FAFC"/>
            <w:tcMar>
              <w:top w:w="100" w:type="dxa"/>
              <w:bottom w:w="100" w:type="dxa"/>
              <w:left w:w="120" w:type="dxa"/>
              <w:right w:w="120" w:type="dxa"/>
            </w:tcMar>
          </w:tcPr>
          <w:p>
            <w:pPr>
              <w:spacing w:after="0"/>
            </w:pPr>
            <w:r>
              <w:rPr>
                <w:sz w:val="19"/>
              </w:rPr>
              <w:t>Monitors for concurrent use of NSAIDs/Antiplatelets, ACEi/ARBs, and Diuretics to proactively prevent acute kidney injury (AKI).</w:t>
            </w:r>
          </w:p>
        </w:tc>
      </w:tr>
    </w:tbl>
    <w:p>
      <w:pPr>
        <w:keepNext/>
        <w:spacing w:before="360" w:after="120"/>
      </w:pPr>
      <w:r>
        <w:rPr>
          <w:rFonts w:ascii="Arial" w:hAnsi="Arial"/>
          <w:b/>
          <w:color w:val="1E3A8A"/>
          <w:sz w:val="28"/>
        </w:rPr>
        <w:t>5. Conclusion &amp; Professional Sign-off</w:t>
      </w:r>
    </w:p>
    <w:p>
      <w:r>
        <w:t>The Brahmo Drug Safety Engine successfully transitions clinical software engineering away from unpredictable heuristic AI decisions toward deterministic data safety models. By embedding rigorous code safeguards, strict TypeScript typing, and programmatic prompt controls, the application provides an unshakable security framework for medical tools. The system is fully ready for integration, testing, and production deployment inside the Astroum AI clinical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