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r>
        <w:rPr>
          <w:lang w:val="en-US"/>
        </w:rPr>
        <w:t xml:space="preserve">Population :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SOURCES :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Many U.S. federal agencies, including the Census Bureau, publish primary data sources that are available at the Web site www.fedstats.gov. Business news sections of daily newspapers commonly publish secondary source data compiled by business organizations and government agencies</w:t>
      </w:r>
    </w:p>
    <w:p w14:paraId="059C27EC" w14:textId="77777777" w:rsidR="00B75094" w:rsidRDefault="00B75094" w:rsidP="00B75094"/>
    <w:p w14:paraId="6DC5C888" w14:textId="28419B65" w:rsidR="00BA5DBD" w:rsidRDefault="00BA5DBD" w:rsidP="00B75094">
      <w:r>
        <w:t>EXPERIMENTS :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r>
        <w:t>SURVEYS :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r>
        <w:rPr>
          <w:lang w:val="en-US"/>
        </w:rPr>
        <w:t xml:space="preserve">SAMPLING : </w:t>
      </w:r>
      <w:r>
        <w:t>The process by which members of a population are selected for a sample</w:t>
      </w:r>
    </w:p>
    <w:p w14:paraId="3108B4DC" w14:textId="77777777" w:rsidR="005E54E5" w:rsidRDefault="005E54E5" w:rsidP="005E54E5"/>
    <w:p w14:paraId="0177210A" w14:textId="4439BB24" w:rsidR="005E54E5" w:rsidRDefault="005E54E5" w:rsidP="005E54E5">
      <w:r>
        <w:t>PROBABILITY SMAPLING :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SIMPLE RANDOM SAMPLING :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METHODS :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REPLACEMENT :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SAMPLING WITHOUT REPLCAEMENT :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TWO WAY CROSS CLASSIFICATION TABLE :</w:t>
      </w:r>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r>
        <w:rPr>
          <w:sz w:val="36"/>
          <w:szCs w:val="36"/>
          <w:lang w:val="en-US"/>
        </w:rPr>
        <w:t>HISTOGRAM :</w:t>
      </w:r>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THE DOT SCALE DIAGRAM :</w:t>
      </w:r>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For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The Mean :</w:t>
      </w:r>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The mean represents a “balance point” in a set of data values, similar to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The Me</w:t>
      </w:r>
      <w:r>
        <w:rPr>
          <w:sz w:val="36"/>
          <w:szCs w:val="36"/>
        </w:rPr>
        <w:t>dian</w:t>
      </w:r>
      <w:r w:rsidRPr="00E56925">
        <w:rPr>
          <w:sz w:val="36"/>
          <w:szCs w:val="36"/>
        </w:rPr>
        <w:t xml:space="preserve"> :</w:t>
      </w:r>
    </w:p>
    <w:p w14:paraId="1DCBDEE0" w14:textId="651C6712" w:rsidR="00965C36" w:rsidRDefault="00E56925" w:rsidP="00E56925">
      <w:r>
        <w:t>The middle value in a set of data values for a variable when the data values have been ordered from lowest to highest value. When the number of data values to be summarized is even, you perform a special calculation to determine the median  because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r>
        <w:rPr>
          <w:sz w:val="36"/>
          <w:szCs w:val="36"/>
        </w:rPr>
        <w:t>Mode</w:t>
      </w:r>
      <w:r w:rsidRPr="00E56925">
        <w:rPr>
          <w:sz w:val="36"/>
          <w:szCs w:val="36"/>
        </w:rPr>
        <w:t xml:space="preserve"> :</w:t>
      </w:r>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r>
        <w:t>Similar to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r>
        <w:rPr>
          <w:sz w:val="36"/>
          <w:szCs w:val="36"/>
        </w:rPr>
        <w:t>Quartiles</w:t>
      </w:r>
      <w:r w:rsidRPr="00E56925">
        <w:rPr>
          <w:sz w:val="36"/>
          <w:szCs w:val="36"/>
        </w:rPr>
        <w:t xml:space="preserve"> :</w:t>
      </w:r>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well, and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The Range</w:t>
      </w:r>
      <w:r w:rsidRPr="00E56925">
        <w:rPr>
          <w:sz w:val="36"/>
          <w:szCs w:val="36"/>
        </w:rPr>
        <w:t xml:space="preserve"> :</w:t>
      </w:r>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shown: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The Variance and Standard Deviation</w:t>
      </w:r>
      <w:r w:rsidRPr="00E56925">
        <w:rPr>
          <w:sz w:val="36"/>
          <w:szCs w:val="36"/>
        </w:rPr>
        <w:t xml:space="preserve"> :</w:t>
      </w:r>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The variance and standard deviation help you to know how a set of data values distributes around its mean. For almost all sets of data values, the majority of the values lie within an interval of plus and minus one standard deviation above and below the mean. Therefore, determining the mean and the standard deviation usually helps you define the range in which the majority of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6"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rules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7"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Data Architecture Principles :</w:t>
      </w:r>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in order to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1.Extraction : Data is taken from one or more sources or systems. The extraction locates and identifies relevant data, then prepares it for processing or transformation. Extraction allows many different kinds of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2. Transformation : 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3. Loading :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a number of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1ED36DF" w14:textId="22817215" w:rsidR="00BE378A" w:rsidRPr="00BE378A" w:rsidRDefault="00BE378A">
      <w:pPr>
        <w:rPr>
          <w:rFonts w:ascii="Roboto" w:eastAsia="Times New Roman" w:hAnsi="Roboto" w:cs="Arial"/>
          <w:b/>
          <w:bCs/>
          <w:sz w:val="52"/>
          <w:szCs w:val="52"/>
          <w:lang w:eastAsia="en-IN"/>
        </w:rPr>
      </w:pPr>
      <w:r w:rsidRPr="00BE378A">
        <w:rPr>
          <w:rFonts w:ascii="Roboto" w:hAnsi="Roboto" w:cs="Arial"/>
          <w:b/>
          <w:bCs/>
          <w:sz w:val="52"/>
          <w:szCs w:val="52"/>
        </w:rPr>
        <w:br w:type="page"/>
      </w:r>
    </w:p>
    <w:p w14:paraId="5B026066" w14:textId="391D76C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From the Pie Chart in sheet no. 3, it can be clearly observed that the Eastern region has the highest profit and also has the highest number of sales. Whereas the North Eastern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Same goes for the state with the lowest quantity of goods and the lowest number of sales, </w:t>
      </w:r>
      <w:proofErr w:type="spellStart"/>
      <w:r w:rsidRPr="00607085">
        <w:rPr>
          <w:rFonts w:ascii="Roboto" w:hAnsi="Roboto" w:cs="Arial"/>
        </w:rPr>
        <w:t>i.e</w:t>
      </w:r>
      <w:proofErr w:type="spellEnd"/>
      <w:r w:rsidRPr="00607085">
        <w:rPr>
          <w:rFonts w:ascii="Roboto" w:hAnsi="Roboto" w:cs="Arial"/>
        </w:rPr>
        <w:t xml:space="preserv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lastRenderedPageBreak/>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As observed from the first sheet,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 xml:space="preserve">sub-category </w:t>
      </w:r>
      <w:r>
        <w:rPr>
          <w:rFonts w:ascii="Roboto" w:hAnsi="Roboto" w:cs="Arial"/>
          <w:b/>
          <w:bCs/>
        </w:rPr>
        <w:t>making the highest profit in the country.</w:t>
      </w:r>
    </w:p>
    <w:p w14:paraId="79F695B9" w14:textId="28C2DE25" w:rsidR="002D24B1" w:rsidRPr="00607085"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It can also be seen from sheet number 2 that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sub-category</w:t>
      </w:r>
      <w:r>
        <w:rPr>
          <w:rFonts w:ascii="Roboto" w:hAnsi="Roboto" w:cs="Arial"/>
          <w:b/>
          <w:bCs/>
        </w:rPr>
        <w:t xml:space="preserve"> with the highest number of sales as well. Hence we can clearly conclude th</w:t>
      </w:r>
      <w:r w:rsidR="00607085">
        <w:rPr>
          <w:rFonts w:ascii="Roboto" w:hAnsi="Roboto" w:cs="Arial"/>
          <w:b/>
          <w:bCs/>
        </w:rPr>
        <w:t xml:space="preserve">at the trend : Number of Sales </w:t>
      </w:r>
      <w:r w:rsidR="00607085" w:rsidRPr="00607085">
        <w:rPr>
          <w:rFonts w:ascii="Cambria Math" w:hAnsi="Cambria Math" w:cs="Cambria Math"/>
          <w:color w:val="000000" w:themeColor="text1"/>
          <w:sz w:val="30"/>
          <w:szCs w:val="30"/>
        </w:rPr>
        <w:t>∝</w:t>
      </w:r>
      <w:r w:rsidR="00607085">
        <w:rPr>
          <w:rFonts w:ascii="Cambria Math" w:hAnsi="Cambria Math" w:cs="Cambria Math"/>
          <w:color w:val="000000" w:themeColor="text1"/>
          <w:sz w:val="30"/>
          <w:szCs w:val="30"/>
        </w:rPr>
        <w:t xml:space="preserve"> </w:t>
      </w:r>
      <w:r w:rsidR="00607085" w:rsidRPr="00607085">
        <w:rPr>
          <w:rFonts w:ascii="Roboto" w:hAnsi="Roboto" w:cs="Cambria Math"/>
          <w:b/>
          <w:bCs/>
          <w:color w:val="000000" w:themeColor="text1"/>
        </w:rPr>
        <w:t>Profit</w:t>
      </w:r>
      <w:r w:rsidR="00607085">
        <w:rPr>
          <w:rFonts w:ascii="Roboto" w:hAnsi="Roboto" w:cs="Cambria Math"/>
          <w:b/>
          <w:bCs/>
          <w:color w:val="000000" w:themeColor="text1"/>
        </w:rPr>
        <w:t>.</w:t>
      </w:r>
    </w:p>
    <w:p w14:paraId="351A4C5B" w14:textId="2D4D48C5" w:rsidR="00607085"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However the sub-category Tables shows a difference in this trend.</w:t>
      </w:r>
    </w:p>
    <w:p w14:paraId="189EF2EB" w14:textId="28CF64C8" w:rsidR="00736DD7"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Tables is the sub-category with the 3</w:t>
      </w:r>
      <w:r w:rsidRPr="00736DD7">
        <w:rPr>
          <w:rFonts w:ascii="Roboto" w:hAnsi="Roboto" w:cs="Arial"/>
          <w:b/>
          <w:bCs/>
          <w:vertAlign w:val="superscript"/>
        </w:rPr>
        <w:t>rd</w:t>
      </w:r>
      <w:r>
        <w:rPr>
          <w:rFonts w:ascii="Roboto" w:hAnsi="Roboto" w:cs="Arial"/>
          <w:b/>
          <w:bCs/>
        </w:rPr>
        <w:t xml:space="preserve"> highest number of sales. But when it comes to profits, it is last in the whole lot.</w:t>
      </w:r>
    </w:p>
    <w:p w14:paraId="185E497E" w14:textId="77777777" w:rsidR="00736DD7" w:rsidRPr="006F175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p>
    <w:p w14:paraId="6C6EB34B" w14:textId="77777777" w:rsidR="00FA2C3C" w:rsidRPr="00FA2C3C" w:rsidRDefault="00FA2C3C" w:rsidP="0033628A">
      <w:pPr>
        <w:pStyle w:val="NormalWeb"/>
        <w:shd w:val="clear" w:color="auto" w:fill="FFFFFF"/>
        <w:spacing w:before="0" w:beforeAutospacing="0" w:after="390" w:afterAutospacing="0" w:line="390" w:lineRule="atLeast"/>
        <w:jc w:val="both"/>
        <w:rPr>
          <w:rFonts w:ascii="Roboto" w:hAnsi="Roboto" w:cs="Arial"/>
          <w:b/>
          <w:bCs/>
        </w:rPr>
      </w:pPr>
    </w:p>
    <w:p w14:paraId="11D45772" w14:textId="77777777" w:rsidR="0052694F" w:rsidRPr="000A6A87" w:rsidRDefault="0052694F" w:rsidP="0052694F">
      <w:pPr>
        <w:jc w:val="center"/>
        <w:rPr>
          <w:sz w:val="40"/>
          <w:szCs w:val="40"/>
        </w:rPr>
      </w:pPr>
    </w:p>
    <w:sectPr w:rsidR="0052694F"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8"/>
  </w:num>
  <w:num w:numId="2" w16cid:durableId="533932215">
    <w:abstractNumId w:val="2"/>
  </w:num>
  <w:num w:numId="3" w16cid:durableId="768892392">
    <w:abstractNumId w:val="10"/>
  </w:num>
  <w:num w:numId="4" w16cid:durableId="1487934118">
    <w:abstractNumId w:val="12"/>
  </w:num>
  <w:num w:numId="5" w16cid:durableId="712386749">
    <w:abstractNumId w:val="3"/>
  </w:num>
  <w:num w:numId="6" w16cid:durableId="285356342">
    <w:abstractNumId w:val="9"/>
  </w:num>
  <w:num w:numId="7" w16cid:durableId="286130235">
    <w:abstractNumId w:val="1"/>
  </w:num>
  <w:num w:numId="8" w16cid:durableId="273710624">
    <w:abstractNumId w:val="6"/>
  </w:num>
  <w:num w:numId="9" w16cid:durableId="2014985806">
    <w:abstractNumId w:val="0"/>
  </w:num>
  <w:num w:numId="10" w16cid:durableId="2036731640">
    <w:abstractNumId w:val="7"/>
  </w:num>
  <w:num w:numId="11" w16cid:durableId="2056461743">
    <w:abstractNumId w:val="11"/>
  </w:num>
  <w:num w:numId="12" w16cid:durableId="194852521">
    <w:abstractNumId w:val="5"/>
  </w:num>
  <w:num w:numId="13" w16cid:durableId="123858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C795C"/>
    <w:rsid w:val="00252B8A"/>
    <w:rsid w:val="00283A10"/>
    <w:rsid w:val="002C29BE"/>
    <w:rsid w:val="002D24B1"/>
    <w:rsid w:val="0033628A"/>
    <w:rsid w:val="00362C22"/>
    <w:rsid w:val="003C0BF2"/>
    <w:rsid w:val="003F72F4"/>
    <w:rsid w:val="00462950"/>
    <w:rsid w:val="00522F55"/>
    <w:rsid w:val="0052694F"/>
    <w:rsid w:val="005A4DCF"/>
    <w:rsid w:val="005B7592"/>
    <w:rsid w:val="005C36DF"/>
    <w:rsid w:val="005C57C8"/>
    <w:rsid w:val="005D1041"/>
    <w:rsid w:val="005E54E5"/>
    <w:rsid w:val="00607085"/>
    <w:rsid w:val="006D77BF"/>
    <w:rsid w:val="006F1756"/>
    <w:rsid w:val="00736DD7"/>
    <w:rsid w:val="007466FD"/>
    <w:rsid w:val="00821418"/>
    <w:rsid w:val="00895C52"/>
    <w:rsid w:val="008E6F50"/>
    <w:rsid w:val="00956840"/>
    <w:rsid w:val="00965C36"/>
    <w:rsid w:val="00A1324E"/>
    <w:rsid w:val="00A85F27"/>
    <w:rsid w:val="00AF00E8"/>
    <w:rsid w:val="00B75094"/>
    <w:rsid w:val="00B75DCB"/>
    <w:rsid w:val="00BA5DBD"/>
    <w:rsid w:val="00BE378A"/>
    <w:rsid w:val="00C67525"/>
    <w:rsid w:val="00CC0508"/>
    <w:rsid w:val="00D62CD6"/>
    <w:rsid w:val="00DF6253"/>
    <w:rsid w:val="00E0033F"/>
    <w:rsid w:val="00E024B3"/>
    <w:rsid w:val="00E56925"/>
    <w:rsid w:val="00E965DD"/>
    <w:rsid w:val="00F37575"/>
    <w:rsid w:val="00FA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what-is-database-management-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data-architect-arti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15</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6</cp:revision>
  <dcterms:created xsi:type="dcterms:W3CDTF">2023-07-05T14:10:00Z</dcterms:created>
  <dcterms:modified xsi:type="dcterms:W3CDTF">2023-07-09T07:54:00Z</dcterms:modified>
</cp:coreProperties>
</file>