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F373E6" w:rsidP="00E37845">
      <w:pPr>
        <w:pStyle w:val="Title"/>
      </w:pPr>
      <w:r>
        <w:t>Higher order finite difference scheme</w:t>
      </w:r>
    </w:p>
    <w:p w:rsidR="00F373E6" w:rsidRPr="00F373E6" w:rsidRDefault="00F373E6" w:rsidP="00F373E6">
      <w:pPr>
        <w:pStyle w:val="Subtitle"/>
      </w:pPr>
      <w:r w:rsidRPr="00F373E6">
        <w:t>Sommerfeld condition</w:t>
      </w:r>
    </w:p>
    <w:p w:rsidR="00E37845" w:rsidRDefault="00F373E6" w:rsidP="00DE6C3E">
      <w:pPr>
        <w:pStyle w:val="Heading1"/>
      </w:pPr>
      <w:r>
        <w:t>9 point stencil of the Helmholtz equation</w:t>
      </w:r>
    </w:p>
    <w:p w:rsidR="003E02FA" w:rsidRPr="00F373E6" w:rsidRDefault="00F373E6" w:rsidP="00354353">
      <w:pPr>
        <w:pStyle w:val="Heading1"/>
        <w:rPr>
          <w:lang w:val="fr-FR"/>
        </w:rPr>
      </w:pPr>
      <w:r>
        <w:rPr>
          <w:lang w:val="fr-FR"/>
        </w:rPr>
        <w:t>2</w:t>
      </w:r>
      <w:r w:rsidRPr="00F373E6">
        <w:rPr>
          <w:vertAlign w:val="superscript"/>
          <w:lang w:val="fr-FR"/>
        </w:rPr>
        <w:t>nd</w:t>
      </w:r>
      <w:r>
        <w:rPr>
          <w:lang w:val="fr-FR"/>
        </w:rPr>
        <w:t xml:space="preserve"> </w:t>
      </w:r>
      <w:r w:rsidRPr="00F373E6">
        <w:t>or</w:t>
      </w:r>
      <w:bookmarkStart w:id="0" w:name="_GoBack"/>
      <w:bookmarkEnd w:id="0"/>
      <w:r w:rsidRPr="00F373E6">
        <w:t>der</w:t>
      </w:r>
      <w:r>
        <w:rPr>
          <w:lang w:val="fr-FR"/>
        </w:rPr>
        <w:t xml:space="preserve"> </w:t>
      </w:r>
      <w:r w:rsidRPr="00F373E6">
        <w:rPr>
          <w:lang w:val="fr-FR"/>
        </w:rPr>
        <w:t>5 point stencil coefficient</w:t>
      </w:r>
    </w:p>
    <w:p w:rsidR="00F373E6" w:rsidRPr="00F373E6" w:rsidRDefault="00F373E6" w:rsidP="00F373E6">
      <w:pPr>
        <w:pStyle w:val="Heading1"/>
        <w:rPr>
          <w:lang w:val="fr-FR"/>
        </w:rPr>
      </w:pPr>
      <w:r>
        <w:rPr>
          <w:lang w:val="fr-FR"/>
        </w:rPr>
        <w:t>4</w:t>
      </w:r>
      <w:r w:rsidRPr="00F373E6">
        <w:rPr>
          <w:vertAlign w:val="superscript"/>
          <w:lang w:val="fr-FR"/>
        </w:rPr>
        <w:t>th</w:t>
      </w:r>
      <w:r>
        <w:rPr>
          <w:lang w:val="fr-FR"/>
        </w:rPr>
        <w:t xml:space="preserve"> </w:t>
      </w:r>
      <w:r w:rsidRPr="00F373E6">
        <w:t>order</w:t>
      </w:r>
      <w:r>
        <w:rPr>
          <w:lang w:val="fr-FR"/>
        </w:rPr>
        <w:t xml:space="preserve"> 9</w:t>
      </w:r>
      <w:r w:rsidRPr="00F373E6">
        <w:rPr>
          <w:lang w:val="fr-FR"/>
        </w:rPr>
        <w:t xml:space="preserve"> point stencil coefficient</w:t>
      </w:r>
    </w:p>
    <w:p w:rsidR="00F373E6" w:rsidRPr="00F373E6" w:rsidRDefault="00F373E6" w:rsidP="00F373E6">
      <w:pPr>
        <w:pStyle w:val="Heading1"/>
        <w:rPr>
          <w:lang w:val="fr-FR"/>
        </w:rPr>
      </w:pPr>
      <w:r>
        <w:rPr>
          <w:lang w:val="fr-FR"/>
        </w:rPr>
        <w:t>6</w:t>
      </w:r>
      <w:r w:rsidRPr="00F373E6">
        <w:rPr>
          <w:vertAlign w:val="superscript"/>
          <w:lang w:val="fr-FR"/>
        </w:rPr>
        <w:t>th</w:t>
      </w:r>
      <w:r>
        <w:rPr>
          <w:lang w:val="fr-FR"/>
        </w:rPr>
        <w:t xml:space="preserve"> </w:t>
      </w:r>
      <w:r w:rsidRPr="00F373E6">
        <w:t>order</w:t>
      </w:r>
      <w:r>
        <w:rPr>
          <w:lang w:val="fr-FR"/>
        </w:rPr>
        <w:t xml:space="preserve"> 9</w:t>
      </w:r>
      <w:r w:rsidRPr="00F373E6">
        <w:rPr>
          <w:lang w:val="fr-FR"/>
        </w:rPr>
        <w:t xml:space="preserve"> point stencil coefficient</w:t>
      </w:r>
    </w:p>
    <w:p w:rsidR="00F373E6" w:rsidRPr="00F373E6" w:rsidRDefault="004C7FB9" w:rsidP="0058195E">
      <w:pPr>
        <w:pStyle w:val="Heading2"/>
        <w:rPr>
          <w:lang w:val="fr-FR"/>
        </w:rPr>
      </w:pPr>
      <w:r>
        <w:rPr>
          <w:lang w:val="fr-FR"/>
        </w:rPr>
        <w:t xml:space="preserve">Sommerfeld </w:t>
      </w:r>
      <w:proofErr w:type="spellStart"/>
      <w:r>
        <w:rPr>
          <w:lang w:val="fr-FR"/>
        </w:rPr>
        <w:t>boundary</w:t>
      </w:r>
      <w:proofErr w:type="spellEnd"/>
      <w:r>
        <w:rPr>
          <w:lang w:val="fr-FR"/>
        </w:rPr>
        <w:t xml:space="preserve"> condition</w:t>
      </w:r>
    </w:p>
    <w:p w:rsidR="0058195E" w:rsidRPr="00CE1713" w:rsidRDefault="0058195E" w:rsidP="0058195E">
      <w:pPr>
        <w:pStyle w:val="Heading2"/>
      </w:pPr>
      <w:r>
        <w:t>The basic Taylor formula</w:t>
      </w:r>
    </w:p>
    <w:p w:rsidR="0058195E" w:rsidRDefault="0058195E" w:rsidP="0058195E">
      <w:r>
        <w:t>We will now give the basic formula of a Taylor expansion and other more convenient forms of these formulas that once assemble allow producing schemes.</w:t>
      </w:r>
    </w:p>
    <w:p w:rsidR="0058195E" w:rsidRPr="00001673" w:rsidRDefault="0058195E" w:rsidP="0058195E">
      <w:pPr>
        <w:pStyle w:val="Beforeequation"/>
      </w:pPr>
      <w:r>
        <w:t xml:space="preserve">For our function </w:t>
      </w:r>
      <m:oMath>
        <m:r>
          <w:rPr>
            <w:rFonts w:ascii="Cambria Math" w:hAnsi="Cambria Math"/>
          </w:rPr>
          <m:t>u</m:t>
        </m:r>
      </m:oMath>
      <w:r>
        <w:t xml:space="preserve"> of a scale variable </w:t>
      </w:r>
      <m:oMath>
        <m:r>
          <w:rPr>
            <w:rStyle w:val="QuoteChar"/>
            <w:rFonts w:ascii="Cambria Math" w:hAnsi="Cambria Math"/>
          </w:rPr>
          <m:t>x</m:t>
        </m:r>
      </m:oMath>
      <w:r>
        <w:rPr>
          <w:rStyle w:val="QuoteChar"/>
          <w:b/>
          <w:i w:val="0"/>
        </w:rPr>
        <w:t xml:space="preserve"> </w:t>
      </w:r>
      <w:r>
        <w:rPr>
          <w:rStyle w:val="QuoteChar"/>
          <w:bCs/>
          <w:i w:val="0"/>
        </w:rPr>
        <w:t xml:space="preserve">the Taylor formula sufficiently near a point </w:t>
      </w:r>
      <m:oMath>
        <m:r>
          <w:rPr>
            <w:rStyle w:val="QuoteChar"/>
            <w:rFonts w:ascii="Cambria Math" w:hAnsi="Cambria Math"/>
          </w:rPr>
          <m:t>a</m:t>
        </m:r>
      </m:oMath>
      <w:r>
        <w:rPr>
          <w:rStyle w:val="QuoteChar"/>
          <w:bCs/>
          <w:i w:val="0"/>
        </w:rPr>
        <w:t xml:space="preserve"> may be written the following: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7E0C5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373E6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Pr="000C2741" w:rsidRDefault="00FB0AEA" w:rsidP="0058195E">
      <w:pPr>
        <w:pStyle w:val="Betweenequation"/>
        <w:rPr>
          <w:sz w:val="20"/>
          <w:szCs w:val="20"/>
        </w:rPr>
      </w:pPr>
      <w:r w:rsidRPr="00FB0AEA">
        <w:t xml:space="preserve">This may be rewritten the following by </w:t>
      </w:r>
      <w:r>
        <w:t>letting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x-a</m:t>
            </m:r>
          </m:e>
        </m:d>
        <m:r>
          <w:rPr>
            <w:rFonts w:ascii="Cambria Math" w:hAnsi="Cambria Math"/>
            <w:sz w:val="20"/>
            <w:szCs w:val="20"/>
          </w:rPr>
          <m:t>=h</m:t>
        </m:r>
      </m:oMath>
      <w:r w:rsidRPr="00FB0AEA">
        <w:rPr>
          <w:sz w:val="20"/>
          <w:szCs w:val="20"/>
        </w:rPr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640C9F" w:rsidRDefault="0058195E" w:rsidP="00783FDF">
            <w:pPr>
              <w:jc w:val="center"/>
              <w:rPr>
                <w:rFonts w:ascii="Verdana" w:hAnsi="Verdana"/>
                <w:i/>
                <w:sz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a+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Ref40495095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373E6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1"/>
          </w:p>
        </w:tc>
      </w:tr>
    </w:tbl>
    <w:p w:rsidR="0058195E" w:rsidRDefault="0058195E" w:rsidP="0058195E">
      <w:pPr>
        <w:pStyle w:val="Heading2"/>
      </w:pPr>
      <w:r>
        <w:t>Different variation on the extension</w:t>
      </w:r>
    </w:p>
    <w:p w:rsidR="0058195E" w:rsidRDefault="0058195E" w:rsidP="007B3B32">
      <w:r>
        <w:t>It is possible to derive a wide range of Taylor expansion depending on the point we wish to calculate it. The only thing to care of is that the variable tends to a when h tends to 0.</w:t>
      </w:r>
    </w:p>
    <w:p w:rsidR="0058195E" w:rsidRDefault="0058195E" w:rsidP="0058195E">
      <w:pPr>
        <w:pStyle w:val="Beforeequation"/>
      </w:pPr>
      <w:r>
        <w:t xml:space="preserve">From </w:t>
      </w:r>
      <w:r>
        <w:fldChar w:fldCharType="begin"/>
      </w:r>
      <w:r>
        <w:instrText xml:space="preserve"> REF _Ref404950952 \h  \* MERGEFORMAT </w:instrText>
      </w:r>
      <w:r>
        <w:fldChar w:fldCharType="separate"/>
      </w:r>
      <w:r w:rsidR="00F373E6" w:rsidRPr="00E67B71">
        <w:rPr>
          <w:rFonts w:ascii="Verdana" w:hAnsi="Verdana"/>
          <w:sz w:val="20"/>
          <w:szCs w:val="20"/>
        </w:rPr>
        <w:t>(</w:t>
      </w:r>
      <w:r w:rsidR="00F373E6">
        <w:rPr>
          <w:rFonts w:ascii="Verdana" w:hAnsi="Verdana"/>
          <w:noProof/>
          <w:sz w:val="20"/>
          <w:szCs w:val="20"/>
        </w:rPr>
        <w:t>2</w:t>
      </w:r>
      <w:r w:rsidR="00F373E6" w:rsidRPr="00E67B71">
        <w:rPr>
          <w:rFonts w:ascii="Verdana" w:hAnsi="Verdana"/>
          <w:sz w:val="20"/>
          <w:szCs w:val="20"/>
        </w:rPr>
        <w:t>)</w:t>
      </w:r>
      <w:r>
        <w:fldChar w:fldCharType="end"/>
      </w:r>
      <w:r>
        <w:t xml:space="preserve"> we can derive: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7E0C5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373E6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373E6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h+ 2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373E6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B93ECB" w:rsidRDefault="00B93ECB" w:rsidP="00B93ECB">
      <w:pPr>
        <w:pStyle w:val="Afterequation"/>
      </w:pPr>
      <w:r>
        <w:t>These expansion</w:t>
      </w:r>
      <w:r w:rsidR="00B80867">
        <w:t>s</w:t>
      </w:r>
      <w:r>
        <w:t xml:space="preserve"> will serve as basis bricks to build </w:t>
      </w:r>
      <w:r w:rsidR="00B80867">
        <w:t xml:space="preserve">computation </w:t>
      </w:r>
      <w:r>
        <w:t>schemes.</w:t>
      </w:r>
    </w:p>
    <w:p w:rsidR="00572D34" w:rsidRDefault="0058195E" w:rsidP="007B3B32">
      <w:pPr>
        <w:pStyle w:val="Heading2"/>
      </w:pPr>
      <w:r>
        <w:t>Remark</w:t>
      </w:r>
    </w:p>
    <w:p w:rsidR="00783FDF" w:rsidRDefault="00783FDF" w:rsidP="00B80867">
      <w:pPr>
        <w:pStyle w:val="ListParagraph"/>
        <w:numPr>
          <w:ilvl w:val="0"/>
          <w:numId w:val="2"/>
        </w:numPr>
      </w:pPr>
      <w:r>
        <w:t>These estimations depend on</w:t>
      </w:r>
    </w:p>
    <w:p w:rsidR="007B3B32" w:rsidRDefault="00B80867" w:rsidP="00B80867">
      <w:pPr>
        <w:pStyle w:val="ListParagraph"/>
        <w:numPr>
          <w:ilvl w:val="0"/>
          <w:numId w:val="2"/>
        </w:numPr>
      </w:pPr>
      <w:r>
        <w:t>These estimations are local. The more h is small the more they will be precise.</w:t>
      </w:r>
    </w:p>
    <w:p w:rsidR="00B80867" w:rsidRPr="007B3B32" w:rsidRDefault="00B80867" w:rsidP="00837F98">
      <w:pPr>
        <w:pStyle w:val="ListParagraph"/>
        <w:numPr>
          <w:ilvl w:val="0"/>
          <w:numId w:val="2"/>
        </w:numPr>
      </w:pPr>
      <w:r>
        <w:t xml:space="preserve">The function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B80867">
        <w:t xml:space="preserve"> is the tru</w:t>
      </w:r>
      <w:r>
        <w:t xml:space="preserve">ncation error. It will give an idea of how much decimal are significant in the result. </w:t>
      </w:r>
      <w:r w:rsidR="00837F98">
        <w:t xml:space="preserve">Here also if h is sufficiently small, it will increase the </w:t>
      </w:r>
      <w:r w:rsidR="00837F98">
        <w:lastRenderedPageBreak/>
        <w:t>degree of precision of the calculation (a trade-off exists between the size of h, the memory handled and the computation time).</w:t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743633214"/>
        <w:docPartObj>
          <w:docPartGallery w:val="Bibliographies"/>
          <w:docPartUnique/>
        </w:docPartObj>
      </w:sdtPr>
      <w:sdtEndPr/>
      <w:sdtContent>
        <w:p w:rsidR="000949C0" w:rsidRDefault="000949C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0949C0" w:rsidRDefault="000949C0" w:rsidP="000949C0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0949C0" w:rsidTr="000949C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949C0" w:rsidRDefault="000949C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2" w:name="LeV07"/>
                    <w:r>
                      <w:rPr>
                        <w:noProof/>
                      </w:rPr>
                      <w:t>[1]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0949C0" w:rsidRDefault="000949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0949C0" w:rsidRDefault="000949C0" w:rsidP="000949C0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949C0" w:rsidRDefault="000949C0" w:rsidP="000949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F373E6" w:rsidRPr="00D26495" w:rsidTr="00DB5E2E">
        <w:trPr>
          <w:trHeight w:val="417"/>
        </w:trPr>
        <w:tc>
          <w:tcPr>
            <w:tcW w:w="386" w:type="dxa"/>
            <w:vAlign w:val="center"/>
          </w:tcPr>
          <w:p w:rsidR="00F373E6" w:rsidRPr="00D26495" w:rsidRDefault="00F373E6" w:rsidP="00DB5E2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F373E6" w:rsidRPr="0040553B" w:rsidRDefault="00F373E6" w:rsidP="00DB5E2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F373E6" w:rsidRPr="00E67B71" w:rsidRDefault="00F373E6" w:rsidP="00DB5E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684426" w:rsidRDefault="004C7FB9"/>
    <w:sectPr w:rsidR="006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E6"/>
    <w:rsid w:val="00001673"/>
    <w:rsid w:val="000949C0"/>
    <w:rsid w:val="000A5427"/>
    <w:rsid w:val="000C2741"/>
    <w:rsid w:val="00123844"/>
    <w:rsid w:val="0022223B"/>
    <w:rsid w:val="002B6413"/>
    <w:rsid w:val="002F6DEA"/>
    <w:rsid w:val="003130B2"/>
    <w:rsid w:val="00354353"/>
    <w:rsid w:val="003E02FA"/>
    <w:rsid w:val="004711E2"/>
    <w:rsid w:val="00486516"/>
    <w:rsid w:val="004C7FB9"/>
    <w:rsid w:val="0052505C"/>
    <w:rsid w:val="00572D34"/>
    <w:rsid w:val="0058195E"/>
    <w:rsid w:val="00583F9E"/>
    <w:rsid w:val="00593D66"/>
    <w:rsid w:val="005B1E0D"/>
    <w:rsid w:val="00615B4A"/>
    <w:rsid w:val="006C6E5E"/>
    <w:rsid w:val="00765D8A"/>
    <w:rsid w:val="00783FDF"/>
    <w:rsid w:val="007A3CCE"/>
    <w:rsid w:val="007B3B32"/>
    <w:rsid w:val="00837F98"/>
    <w:rsid w:val="008C18E1"/>
    <w:rsid w:val="008C35FC"/>
    <w:rsid w:val="00901B57"/>
    <w:rsid w:val="00944B82"/>
    <w:rsid w:val="009A0060"/>
    <w:rsid w:val="00A216E0"/>
    <w:rsid w:val="00A41798"/>
    <w:rsid w:val="00A57D1D"/>
    <w:rsid w:val="00A736BB"/>
    <w:rsid w:val="00A9359E"/>
    <w:rsid w:val="00B037A4"/>
    <w:rsid w:val="00B66749"/>
    <w:rsid w:val="00B80867"/>
    <w:rsid w:val="00B91452"/>
    <w:rsid w:val="00B93ECB"/>
    <w:rsid w:val="00BA4CD0"/>
    <w:rsid w:val="00BD03C7"/>
    <w:rsid w:val="00D029AC"/>
    <w:rsid w:val="00D1263C"/>
    <w:rsid w:val="00D36538"/>
    <w:rsid w:val="00DE6C3E"/>
    <w:rsid w:val="00E33B49"/>
    <w:rsid w:val="00E37845"/>
    <w:rsid w:val="00E67B71"/>
    <w:rsid w:val="00EA311E"/>
    <w:rsid w:val="00F360D6"/>
    <w:rsid w:val="00F373E6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E6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E6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9B9A06A6-174A-4C28-8A87-0079C107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14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cp:lastPrinted>2014-11-28T12:20:00Z</cp:lastPrinted>
  <dcterms:created xsi:type="dcterms:W3CDTF">2015-05-12T08:41:00Z</dcterms:created>
  <dcterms:modified xsi:type="dcterms:W3CDTF">2015-05-12T08:55:00Z</dcterms:modified>
</cp:coreProperties>
</file>