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1D4ED8"/>
          <w:sz w:val="20"/>
          <w:szCs w:val="20"/>
        </w:rPr>
        <w:t xml:space="preserve">PRICING STRATEGY MEMO</w:t>
      </w:r>
    </w:p>
    <w:p>
      <w:pPr>
        <w:spacing w:after="200"/>
      </w:pPr>
      <w:r>
        <w:rPr>
          <w:b/>
          <w:bCs/>
          <w:color w:val="1F2937"/>
          <w:sz w:val="44"/>
          <w:szCs w:val="44"/>
        </w:rPr>
        <w:t xml:space="preserve">FinWise Co.</w:t>
      </w:r>
    </w:p>
    <w:p>
      <w:pPr>
        <w:spacing w:after="40"/>
      </w:pPr>
      <w:r>
        <w:rPr>
          <w:b/>
          <w:bCs/>
          <w:color w:val="1F2937"/>
          <w:sz w:val="21"/>
          <w:szCs w:val="21"/>
        </w:rPr>
        <w:t xml:space="preserve">To: </w:t>
      </w:r>
      <w:r>
        <w:rPr>
          <w:color w:val="374151"/>
          <w:sz w:val="21"/>
          <w:szCs w:val="21"/>
        </w:rPr>
        <w:t xml:space="preserve">FinWise Leadership &amp; Growth Team</w:t>
      </w:r>
    </w:p>
    <w:p>
      <w:pPr>
        <w:spacing w:after="40"/>
      </w:pPr>
      <w:r>
        <w:rPr>
          <w:b/>
          <w:bCs/>
          <w:color w:val="1F2937"/>
          <w:sz w:val="21"/>
          <w:szCs w:val="21"/>
        </w:rPr>
        <w:t xml:space="preserve">From: </w:t>
      </w:r>
      <w:r>
        <w:rPr>
          <w:color w:val="374151"/>
          <w:sz w:val="21"/>
          <w:szCs w:val="21"/>
        </w:rPr>
        <w:t xml:space="preserve">Product Lead</w:t>
      </w:r>
    </w:p>
    <w:p>
      <w:pPr>
        <w:spacing w:after="40"/>
      </w:pPr>
      <w:r>
        <w:rPr>
          <w:b/>
          <w:bCs/>
          <w:color w:val="1F2937"/>
          <w:sz w:val="21"/>
          <w:szCs w:val="21"/>
        </w:rPr>
        <w:t xml:space="preserve">Subject: </w:t>
      </w:r>
      <w:r>
        <w:rPr>
          <w:color w:val="374151"/>
          <w:sz w:val="21"/>
          <w:szCs w:val="21"/>
        </w:rPr>
        <w:t xml:space="preserve">Monetization strategy: shifting from reverse-trial friction to value-based gating</w:t>
      </w:r>
    </w:p>
    <w:p>
      <w:pPr>
        <w:pBdr>
          <w:bottom w:val="single" w:color="9CA3AF" w:sz="6" w:space="1"/>
        </w:pBdr>
        <w:spacing w:after="240" w:before="120"/>
      </w:pPr>
    </w:p>
    <w:p>
      <w:pPr>
        <w:pStyle w:val="Heading1"/>
        <w:spacing w:after="140" w:before="320"/>
      </w:pPr>
      <w:r>
        <w:rPr>
          <w:b/>
          <w:bCs/>
          <w:color w:val="1F2937"/>
          <w:sz w:val="26"/>
          <w:szCs w:val="26"/>
        </w:rPr>
        <w:t xml:space="preserve">1. Growth stage &amp; diagnosis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FinWise has achieved product-market fit with $10M in ARR, but top-of-funnel paid acquisition has hit diminishing returns. Our primary bottleneck is not onboarding usability or initial product setup — our data reveals that 94% of trial users successfully complete data imports and 63% run financial modeling.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Despite high feature engagement, trial-to-paid conversion remains flat at 2%, and one-year churn is 60%. We are in the Scale/Monetization stage, where the reverse trial gives away too much core utility for free without creating structural or economic triggers to upgrade.</w:t>
      </w:r>
    </w:p>
    <w:p>
      <w:pPr>
        <w:pStyle w:val="Heading1"/>
        <w:spacing w:after="140" w:before="320"/>
      </w:pPr>
      <w:r>
        <w:rPr>
          <w:b/>
          <w:bCs/>
          <w:color w:val="1F2937"/>
          <w:sz w:val="26"/>
          <w:szCs w:val="26"/>
        </w:rPr>
        <w:t xml:space="preserve">2. Core value alignment &amp; model choice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FinWise delivers value to small businesses by serving as an operational co-pilot for collaborative cash flow decisions, not as a static, single-user accounting ledger.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To align monetization with how value is delivered, we will transition from a time-bound reverse trial to a hybrid freemium and usage/seat-gated model.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b/>
          <w:bCs/>
          <w:color w:val="1F2937"/>
          <w:sz w:val="22"/>
          <w:szCs w:val="22"/>
        </w:rPr>
        <w:t xml:space="preserve">Free core (single user): </w:t>
      </w:r>
      <w:r>
        <w:rPr>
          <w:color w:val="1F2937"/>
          <w:sz w:val="22"/>
          <w:szCs w:val="22"/>
        </w:rPr>
        <w:t xml:space="preserve">Single-user cash runway dashboards and basic transaction auto-categorization remain free to build daily checking habits and eliminate time-to-value friction.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b/>
          <w:bCs/>
          <w:color w:val="1F2937"/>
          <w:sz w:val="22"/>
          <w:szCs w:val="22"/>
        </w:rPr>
        <w:t xml:space="preserve">Monetized triggers: </w:t>
      </w:r>
      <w:r>
        <w:rPr>
          <w:color w:val="1F2937"/>
          <w:sz w:val="22"/>
          <w:szCs w:val="22"/>
        </w:rPr>
        <w:t xml:space="preserve">Value paywalls activate when a workspace requires multi-seat collaboration, automated audit-ready reporting, or external advisor integrations.</w:t>
      </w:r>
    </w:p>
    <w:p>
      <w:pPr>
        <w:pStyle w:val="Heading1"/>
        <w:spacing w:after="140" w:before="320"/>
      </w:pPr>
      <w:r>
        <w:rPr>
          <w:b/>
          <w:bCs/>
          <w:color w:val="1F2937"/>
          <w:sz w:val="26"/>
          <w:szCs w:val="26"/>
        </w:rPr>
        <w:t xml:space="preserve">3. Readiness check: is this a Stage 1 or Stage 2 problem?</w:t>
      </w:r>
    </w:p>
    <w:p>
      <w:pPr>
        <w:spacing w:after="160"/>
      </w:pPr>
      <w:r>
        <w:rPr>
          <w:color w:val="1F2937"/>
          <w:sz w:val="22"/>
          <w:szCs w:val="22"/>
        </w:rPr>
        <w:t xml:space="preserve">Before proposing a monetization change, we confirmed this is not a disguised value problem. The evidence below is what this bet assumes to be true, and what would invalidate it if it isn't.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b/>
          <w:bCs/>
          <w:color w:val="1F2937"/>
          <w:sz w:val="22"/>
          <w:szCs w:val="22"/>
        </w:rPr>
        <w:t xml:space="preserve">Trial engagement is healthy: </w:t>
      </w:r>
      <w:r>
        <w:rPr>
          <w:color w:val="1F2937"/>
          <w:sz w:val="22"/>
          <w:szCs w:val="22"/>
        </w:rPr>
        <w:t xml:space="preserve">94% of trial users complete data imports and 63% run financial modeling. Users are reaching the core product, not abandoning before value is delivered.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b/>
          <w:bCs/>
          <w:color w:val="1F2937"/>
          <w:sz w:val="22"/>
          <w:szCs w:val="22"/>
        </w:rPr>
        <w:t xml:space="preserve">The gap is structural, not experiential: </w:t>
      </w:r>
      <w:r>
        <w:rPr>
          <w:color w:val="1F2937"/>
          <w:sz w:val="22"/>
          <w:szCs w:val="22"/>
        </w:rPr>
        <w:t xml:space="preserve">High feature engagement paired with flat 2% conversion means the trial is proving the product works — it is not proving that the free experience creates a reason to pay. That is a monetization-structure gap, not an onboarding or usability gap.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b/>
          <w:bCs/>
          <w:color w:val="1F2937"/>
          <w:sz w:val="22"/>
          <w:szCs w:val="22"/>
        </w:rPr>
        <w:t xml:space="preserve">What would change this diagnosis: </w:t>
      </w:r>
      <w:r>
        <w:rPr>
          <w:color w:val="1F2937"/>
          <w:sz w:val="22"/>
          <w:szCs w:val="22"/>
        </w:rPr>
        <w:t xml:space="preserve">If Day-14 multi-user invitation rate comes back low even among highly-engaged single-user trial accounts, that would point back to unproven collaborative value rather than a pricing/gating fix, and we would revisit Stage 1 work before scaling this bet.</w:t>
      </w:r>
    </w:p>
    <w:p>
      <w:pPr>
        <w:pStyle w:val="Heading1"/>
        <w:spacing w:after="140" w:before="320"/>
      </w:pPr>
      <w:r>
        <w:rPr>
          <w:b/>
          <w:bCs/>
          <w:color w:val="1F2937"/>
          <w:sz w:val="26"/>
          <w:szCs w:val="26"/>
        </w:rPr>
        <w:t xml:space="preserve">4. Testable hypothesis &amp; growth bet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IF: </w:t>
      </w:r>
      <w:r>
        <w:rPr>
          <w:color w:val="1F2937"/>
          <w:sz w:val="22"/>
          <w:szCs w:val="22"/>
        </w:rPr>
        <w:t xml:space="preserve">we gate multi-seat stakeholder functionality (requiring paid upgrades for external accountant or bookkeeper access, or continuous shared reporting) while offering a 14-day free collaborator pass during onboarding,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THEN: </w:t>
      </w:r>
      <w:r>
        <w:rPr>
          <w:color w:val="1F2937"/>
          <w:sz w:val="22"/>
          <w:szCs w:val="22"/>
        </w:rPr>
        <w:t xml:space="preserve">trial-to-paid conversion will increase from 2.0% to 4.5%,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BECAUSE: </w:t>
      </w:r>
      <w:r>
        <w:rPr>
          <w:color w:val="1F2937"/>
          <w:sz w:val="22"/>
          <w:szCs w:val="22"/>
        </w:rPr>
        <w:t xml:space="preserve">small business financial management relies on coordination with external advisors — locking shared reporting behind paid tiers captures monetizable organizational dependency that single-user access currently gives away for free,</w:t>
      </w:r>
    </w:p>
    <w:p>
      <w:pPr>
        <w:spacing w:after="100"/>
      </w:pPr>
      <w:r>
        <w:rPr>
          <w:b/>
          <w:bCs/>
          <w:color w:val="1D4ED8"/>
          <w:sz w:val="22"/>
          <w:szCs w:val="22"/>
        </w:rPr>
        <w:t xml:space="preserve">WHICH WE'LL MEASURE WITH: </w:t>
      </w:r>
      <w:r>
        <w:rPr>
          <w:color w:val="1F2937"/>
          <w:sz w:val="22"/>
          <w:szCs w:val="22"/>
        </w:rPr>
        <w:t xml:space="preserve">an A/B test over four weeks tracking day-14 multi-user invitation rate (leading indicator) and trial-to-paid conversion rate (primary metric).</w:t>
      </w:r>
    </w:p>
    <w:p>
      <w:pPr>
        <w:pStyle w:val="Heading1"/>
        <w:spacing w:after="140" w:before="320"/>
      </w:pPr>
      <w:r>
        <w:rPr>
          <w:b/>
          <w:bCs/>
          <w:color w:val="1F2937"/>
          <w:sz w:val="26"/>
          <w:szCs w:val="26"/>
        </w:rPr>
        <w:t xml:space="preserve">5. Execution &amp; leading indicators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b/>
          <w:bCs/>
          <w:color w:val="1F2937"/>
          <w:sz w:val="22"/>
          <w:szCs w:val="22"/>
        </w:rPr>
        <w:t xml:space="preserve">Target segment: </w:t>
      </w:r>
      <w:r>
        <w:rPr>
          <w:color w:val="1F2937"/>
          <w:sz w:val="22"/>
          <w:szCs w:val="22"/>
        </w:rPr>
        <w:t xml:space="preserve">The operational growth lead and external advisor (accountants, fractional CFOs).</w:t>
      </w:r>
    </w:p>
    <w:p>
      <w:pPr>
        <w:pStyle w:val="ListParagraph"/>
        <w:numPr>
          <w:ilvl w:val="0"/>
          <w:numId w:val="1"/>
        </w:numPr>
        <w:spacing w:after="100"/>
        <w:ind w:left="360"/>
      </w:pPr>
      <w:r>
        <w:rPr>
          <w:b/>
          <w:bCs/>
          <w:color w:val="1F2937"/>
          <w:sz w:val="22"/>
          <w:szCs w:val="22"/>
        </w:rPr>
        <w:t xml:space="preserve">Change implemented: </w:t>
      </w:r>
      <w:r>
        <w:rPr>
          <w:color w:val="1F2937"/>
          <w:sz w:val="22"/>
          <w:szCs w:val="22"/>
        </w:rPr>
        <w:t xml:space="preserve">Introduce a collaboration growth loop. When a user generates a financial forecast or balance sheet summary, a prompt offers to invite their accountant. Upon trial expiration, single-user views remain active, but shared workspaces and client-export packages require the paid tier.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2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Funnel stage</w:t>
            </w:r>
          </w:p>
        </w:tc>
        <w:tc>
          <w:tcPr>
            <w:tcW w:type="dxa" w:w="3800"/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Leading indicator target (M4)</w:t>
            </w:r>
          </w:p>
        </w:tc>
        <w:tc>
          <w:tcPr>
            <w:tcW w:type="dxa" w:w="3200"/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outcome metric</w:t>
            </w:r>
          </w:p>
        </w:tc>
      </w:tr>
      <w:tr>
        <w:tc>
          <w:tcPr>
            <w:tcW w:type="dxa" w:w="2600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Monetization / Expansion</w:t>
            </w:r>
          </w:p>
        </w:tc>
        <w:tc>
          <w:tcPr>
            <w:tcW w:type="dxa" w:w="3800"/>
            <w:shd w:fill="F3F4F6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Invite rate / multi-seat activation</w:t>
            </w:r>
            <w:r>
              <w:rPr>
                <w:color w:val="1F2937"/>
                <w:sz w:val="19"/>
                <w:szCs w:val="19"/>
              </w:rPr>
              <w:t xml:space="preserve"> — target: 30% of trial users inviting an external collaborator</w:t>
            </w:r>
          </w:p>
        </w:tc>
        <w:tc>
          <w:tcPr>
            <w:tcW w:type="dxa" w:w="3200"/>
            <w:shd w:fill="F3F4F6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Trial-to-paid conversion rate</w:t>
            </w:r>
            <w:r>
              <w:rPr>
                <w:color w:val="1F2937"/>
                <w:sz w:val="19"/>
                <w:szCs w:val="19"/>
              </w:rPr>
              <w:t xml:space="preserve"> — target: &gt;3.5%</w:t>
            </w:r>
          </w:p>
        </w:tc>
      </w:tr>
      <w:tr>
        <w:tc>
          <w:tcPr>
            <w:tcW w:type="dxa" w:w="2600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Retention</w:t>
            </w:r>
          </w:p>
        </w:tc>
        <w:tc>
          <w:tcPr>
            <w:tcW w:type="dxa" w:w="3800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Weekly active collaboration rate</w:t>
            </w:r>
            <w:r>
              <w:rPr>
                <w:color w:val="1F2937"/>
                <w:sz w:val="19"/>
                <w:szCs w:val="19"/>
              </w:rPr>
              <w:t xml:space="preserve"> (DAU/MAU)</w:t>
            </w:r>
          </w:p>
        </w:tc>
        <w:tc>
          <w:tcPr>
            <w:tcW w:type="dxa" w:w="3200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1-year paid retention</w:t>
            </w:r>
            <w:r>
              <w:rPr>
                <w:color w:val="1F2937"/>
                <w:sz w:val="19"/>
                <w:szCs w:val="19"/>
              </w:rPr>
              <w:t xml:space="preserve"> — target: increase from 40% to 60%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2026-08-22T18:05:40.505Z</dcterms:created>
  <dcterms:modified xsi:type="dcterms:W3CDTF">2026-08-22T18:05:40.505Z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