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Solicitud de habilitación de toolchain</w:t>
      </w:r>
    </w:p>
    <w:p>
      <w:pPr>
        <w:spacing w:after="60"/>
        <w:jc w:val="center"/>
      </w:pPr>
      <w:r>
        <w:rPr>
          <w:rFonts w:ascii="Arial" w:cs="Arial" w:eastAsia="Arial" w:hAnsi="Arial"/>
          <w:i/>
          <w:iCs/>
          <w:color w:val="2E75B6"/>
          <w:sz w:val="26"/>
          <w:szCs w:val="26"/>
        </w:rPr>
        <w:t xml:space="preserve">Python + GitHub Spec Kit para adopción de Spec-Driven Development</w:t>
      </w:r>
    </w:p>
    <w:p>
      <w:pPr>
        <w:spacing w:after="360"/>
        <w:jc w:val="center"/>
      </w:pPr>
      <w:r>
        <w:rPr>
          <w:rFonts w:ascii="Arial" w:cs="Arial" w:eastAsia="Arial" w:hAnsi="Arial"/>
          <w:color w:val="595959"/>
          <w:sz w:val="22"/>
          <w:szCs w:val="22"/>
        </w:rPr>
        <w:t xml:space="preserve">CCA Credit Card Support · Costa Rica y Panamá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bCs/>
                <w:sz w:val="20"/>
                <w:szCs w:val="20"/>
              </w:rPr>
              <w:t xml:space="preserve">Solicitante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Alvaro Núñez — [ID: s3272784]</w:t>
            </w:r>
          </w:p>
        </w:tc>
      </w:tr>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bCs/>
                <w:sz w:val="20"/>
                <w:szCs w:val="20"/>
              </w:rPr>
              <w:t xml:space="preserve">Equipo</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CCA Credit Card Support — Costa Rica y Panamá</w:t>
            </w:r>
          </w:p>
        </w:tc>
      </w:tr>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bCs/>
                <w:sz w:val="20"/>
                <w:szCs w:val="20"/>
              </w:rPr>
              <w:t xml:space="preserve">Dirigido a</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Líder técnico · Manager · TI / InfoSec</w:t>
            </w:r>
          </w:p>
        </w:tc>
      </w:tr>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bCs/>
                <w:sz w:val="20"/>
                <w:szCs w:val="20"/>
              </w:rPr>
              <w:t xml:space="preserve">Tipo de solicitud</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Habilitación de capacidad de desarrollo — Productividad</w:t>
            </w:r>
          </w:p>
        </w:tc>
      </w:tr>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bCs/>
                <w:sz w:val="20"/>
                <w:szCs w:val="20"/>
              </w:rPr>
              <w:t xml:space="preserve">Tickets relacionados</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Excepción a CHG0696149 (bloqueo de descarga de ejecutables)</w:t>
            </w:r>
          </w:p>
        </w:tc>
      </w:tr>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bCs/>
                <w:sz w:val="20"/>
                <w:szCs w:val="20"/>
              </w:rPr>
              <w:t xml:space="preserve">Alcance inicial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1 estación piloto · escalable al resto del equipo</w:t>
            </w:r>
          </w:p>
        </w:tc>
      </w:tr>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bCs/>
                <w:sz w:val="20"/>
                <w:szCs w:val="20"/>
              </w:rPr>
              <w:t xml:space="preserve">Sistemas impactados</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Estaciones de trabajo de desarrolladores del equipo CCA</w:t>
            </w:r>
          </w:p>
        </w:tc>
      </w:tr>
    </w:tbl>
    <w:p>
      <w:pPr>
        <w:pStyle w:val="Heading1"/>
        <w:spacing w:after="180" w:before="360"/>
      </w:pPr>
      <w:r>
        <w:rPr>
          <w:rFonts w:ascii="Arial" w:cs="Arial" w:eastAsia="Arial" w:hAnsi="Arial"/>
          <w:b/>
          <w:bCs/>
          <w:color w:val="1F3864"/>
          <w:sz w:val="28"/>
          <w:szCs w:val="28"/>
        </w:rPr>
        <w:t xml:space="preserve">1. Resumen ejecutivo</w:t>
      </w:r>
    </w:p>
    <w:p>
      <w:pPr>
        <w:spacing w:after="80" w:before="80"/>
        <w:jc w:val="both"/>
      </w:pPr>
      <w:r>
        <w:rPr>
          <w:rFonts w:ascii="Arial" w:cs="Arial" w:eastAsia="Arial" w:hAnsi="Arial"/>
          <w:b w:val="false"/>
          <w:bCs w:val="false"/>
          <w:i w:val="false"/>
          <w:iCs w:val="false"/>
          <w:color w:val="000000"/>
          <w:sz w:val="22"/>
          <w:szCs w:val="22"/>
        </w:rPr>
        <w:t xml:space="preserve">El equipo CCA Credit Card Support es responsable de conceptualizar, unificar y dar soporte a las aplicaciones y proyectos asociados a productos de tarjetas de crédito y débito en Costa Rica y Panamá, colaborando con áreas de Desarrollo, Proyectos y otras áreas de IT. Las principales líneas de trabajo del equipo incluyen tokenización de tarjetas, apertura y activación de tarjetas de crédito y débito, y soporte a las aplicaciones que sostienen estos procesos.</w:t>
      </w:r>
    </w:p>
    <w:p>
      <w:pPr>
        <w:spacing w:after="80" w:before="80"/>
        <w:jc w:val="both"/>
      </w:pPr>
      <w:r>
        <w:rPr>
          <w:rFonts w:ascii="Arial" w:cs="Arial" w:eastAsia="Arial" w:hAnsi="Arial"/>
          <w:b w:val="false"/>
          <w:bCs w:val="false"/>
          <w:i w:val="false"/>
          <w:iCs w:val="false"/>
          <w:color w:val="000000"/>
          <w:sz w:val="22"/>
          <w:szCs w:val="22"/>
        </w:rPr>
        <w:t xml:space="preserve">Esta solicitud propone la adopción de Spec-Driven Development (SDD) con GitHub Copilot como metodología para los entregables de software del equipo (scripts de soporte, automatizaciones, mejoras a aplicaciones existentes, integraciones con áreas adyacentes). SDD convierte la especificación funcional en la fuente de verdad versionada que guía la generación de código asistida por IA, produciendo documentación de diseño auditable como parte natural del flujo.</w:t>
      </w:r>
    </w:p>
    <w:p>
      <w:pPr>
        <w:spacing w:after="80" w:before="80"/>
        <w:jc w:val="both"/>
      </w:pPr>
      <w:r>
        <w:rPr>
          <w:rFonts w:ascii="Arial" w:cs="Arial" w:eastAsia="Arial" w:hAnsi="Arial"/>
          <w:b w:val="false"/>
          <w:bCs w:val="false"/>
          <w:i w:val="false"/>
          <w:iCs w:val="false"/>
          <w:color w:val="000000"/>
          <w:sz w:val="22"/>
          <w:szCs w:val="22"/>
        </w:rPr>
        <w:t xml:space="preserve">Para implementar SDD se requiere instalar un toolchain ligero (Python 3.12 + GitHub Spec Kit) en las estaciones de trabajo. Este toolchain es complementario a GitHub Copilot, herramienta ya licenciada y aprobada en el Scotiabank Technology Standards Catalogue. Esta solicitud busca la instalación estándar y bien soportada en una estación piloto, evitando workarounds que generan deuda técnica futura.</w:t>
      </w:r>
    </w:p>
    <w:p>
      <w:pPr>
        <w:pStyle w:val="Heading1"/>
        <w:spacing w:after="180" w:before="360"/>
      </w:pPr>
      <w:r>
        <w:rPr>
          <w:rFonts w:ascii="Arial" w:cs="Arial" w:eastAsia="Arial" w:hAnsi="Arial"/>
          <w:b/>
          <w:bCs/>
          <w:color w:val="1F3864"/>
          <w:sz w:val="28"/>
          <w:szCs w:val="28"/>
        </w:rPr>
        <w:t xml:space="preserve">2. Justificación de negocio</w:t>
      </w:r>
    </w:p>
    <w:p>
      <w:pPr>
        <w:pStyle w:val="Heading2"/>
        <w:spacing w:after="120" w:before="240"/>
      </w:pPr>
      <w:r>
        <w:rPr>
          <w:rFonts w:ascii="Arial" w:cs="Arial" w:eastAsia="Arial" w:hAnsi="Arial"/>
          <w:b/>
          <w:bCs/>
          <w:color w:val="2E75B6"/>
          <w:sz w:val="24"/>
          <w:szCs w:val="24"/>
        </w:rPr>
        <w:t xml:space="preserve">2.1 Contexto del equipo</w:t>
      </w:r>
    </w:p>
    <w:p>
      <w:pPr>
        <w:spacing w:after="80" w:before="80"/>
        <w:jc w:val="both"/>
      </w:pPr>
      <w:r>
        <w:rPr>
          <w:rFonts w:ascii="Arial" w:cs="Arial" w:eastAsia="Arial" w:hAnsi="Arial"/>
          <w:b w:val="false"/>
          <w:bCs w:val="false"/>
          <w:i w:val="false"/>
          <w:iCs w:val="false"/>
          <w:color w:val="000000"/>
          <w:sz w:val="22"/>
          <w:szCs w:val="22"/>
        </w:rPr>
        <w:t xml:space="preserve">CCA Credit Card Support opera como bisagra entre las áreas funcionales (negocio de tarjetas) y las áreas técnicas (desarrollo, infraestructura, proyectos). Esto implica producir y mantener artefactos de software que van desde scripts de operación y diagnóstico, hasta especificaciones técnicas para nuevos desarrollos, pasando por automatizaciones de procesos repetitivos del equipo.</w:t>
      </w:r>
    </w:p>
    <w:p>
      <w:pPr>
        <w:spacing w:after="80" w:before="80"/>
        <w:jc w:val="both"/>
      </w:pPr>
      <w:r>
        <w:rPr>
          <w:rFonts w:ascii="Arial" w:cs="Arial" w:eastAsia="Arial" w:hAnsi="Arial"/>
          <w:b w:val="false"/>
          <w:bCs w:val="false"/>
          <w:i w:val="false"/>
          <w:iCs w:val="false"/>
          <w:color w:val="000000"/>
          <w:sz w:val="22"/>
          <w:szCs w:val="22"/>
        </w:rPr>
        <w:t xml:space="preserve">Una porción significativa de este trabajo implica documentar requisitos funcionales y técnicos con suficiente claridad para que sean implementados por equipos de desarrollo internos o externos. Esa documentación es exactamente donde SDD aporta más valor.</w:t>
      </w:r>
    </w:p>
    <w:p>
      <w:pPr>
        <w:pStyle w:val="Heading2"/>
        <w:spacing w:after="120" w:before="240"/>
      </w:pPr>
      <w:r>
        <w:rPr>
          <w:rFonts w:ascii="Arial" w:cs="Arial" w:eastAsia="Arial" w:hAnsi="Arial"/>
          <w:b/>
          <w:bCs/>
          <w:color w:val="2E75B6"/>
          <w:sz w:val="24"/>
          <w:szCs w:val="24"/>
        </w:rPr>
        <w:t xml:space="preserve">2.2 Beneficios esperados</w:t>
      </w:r>
    </w:p>
    <w:p>
      <w:pPr>
        <w:pStyle w:val="ListParagraph"/>
        <w:numPr>
          <w:ilvl w:val="0"/>
          <w:numId w:val="2"/>
        </w:numPr>
        <w:spacing w:after="40" w:before="40"/>
      </w:pPr>
      <w:r>
        <w:rPr>
          <w:rFonts w:ascii="Arial" w:cs="Arial" w:eastAsia="Arial" w:hAnsi="Arial"/>
          <w:b/>
          <w:bCs/>
          <w:sz w:val="22"/>
          <w:szCs w:val="22"/>
        </w:rPr>
        <w:t xml:space="preserve">Documentación de diseño consistente: </w:t>
      </w:r>
      <w:r>
        <w:rPr>
          <w:rFonts w:ascii="Arial" w:cs="Arial" w:eastAsia="Arial" w:hAnsi="Arial"/>
          <w:sz w:val="22"/>
          <w:szCs w:val="22"/>
        </w:rPr>
        <w:t xml:space="preserve">las especificaciones que produce el equipo siguen una estructura uniforme (problem statement, acceptance criteria, technical plan), reduciendo ambigüedad en handoffs a equipos de desarrollo.</w:t>
      </w:r>
    </w:p>
    <w:p>
      <w:pPr>
        <w:pStyle w:val="ListParagraph"/>
        <w:numPr>
          <w:ilvl w:val="0"/>
          <w:numId w:val="2"/>
        </w:numPr>
        <w:spacing w:after="40" w:before="40"/>
      </w:pPr>
      <w:r>
        <w:rPr>
          <w:rFonts w:ascii="Arial" w:cs="Arial" w:eastAsia="Arial" w:hAnsi="Arial"/>
          <w:b/>
          <w:bCs/>
          <w:sz w:val="22"/>
          <w:szCs w:val="22"/>
        </w:rPr>
        <w:t xml:space="preserve">Aceleración en producción de artefactos: </w:t>
      </w:r>
      <w:r>
        <w:rPr>
          <w:rFonts w:ascii="Arial" w:cs="Arial" w:eastAsia="Arial" w:hAnsi="Arial"/>
          <w:sz w:val="22"/>
          <w:szCs w:val="22"/>
        </w:rPr>
        <w:t xml:space="preserve">GitHub reporta reducciones del orden de 10× en ciclos de regeneración de código cuando agentes operan contra una especificación clara. Esto aplica directamente a los scripts de automatización y pequeños desarrollos que produce el equipo.</w:t>
      </w:r>
    </w:p>
    <w:p>
      <w:pPr>
        <w:pStyle w:val="ListParagraph"/>
        <w:numPr>
          <w:ilvl w:val="0"/>
          <w:numId w:val="2"/>
        </w:numPr>
        <w:spacing w:after="40" w:before="40"/>
      </w:pPr>
      <w:r>
        <w:rPr>
          <w:rFonts w:ascii="Arial" w:cs="Arial" w:eastAsia="Arial" w:hAnsi="Arial"/>
          <w:b/>
          <w:bCs/>
          <w:sz w:val="22"/>
          <w:szCs w:val="22"/>
        </w:rPr>
        <w:t xml:space="preserve">Estandarización del uso de Copilot: </w:t>
      </w:r>
      <w:r>
        <w:rPr>
          <w:rFonts w:ascii="Arial" w:cs="Arial" w:eastAsia="Arial" w:hAnsi="Arial"/>
          <w:sz w:val="22"/>
          <w:szCs w:val="22"/>
        </w:rPr>
        <w:t xml:space="preserve">el equipo opera con un framework compartido en lugar de prácticas individuales heterogéneas, facilitando code review entre pares y onboarding de nuevos miembros.</w:t>
      </w:r>
    </w:p>
    <w:p>
      <w:pPr>
        <w:pStyle w:val="ListParagraph"/>
        <w:numPr>
          <w:ilvl w:val="0"/>
          <w:numId w:val="2"/>
        </w:numPr>
        <w:spacing w:after="40" w:before="40"/>
      </w:pPr>
      <w:r>
        <w:rPr>
          <w:rFonts w:ascii="Arial" w:cs="Arial" w:eastAsia="Arial" w:hAnsi="Arial"/>
          <w:b/>
          <w:bCs/>
          <w:sz w:val="22"/>
          <w:szCs w:val="22"/>
        </w:rPr>
        <w:t xml:space="preserve">Trazabilidad de decisiones técnicas: </w:t>
      </w:r>
      <w:r>
        <w:rPr>
          <w:rFonts w:ascii="Arial" w:cs="Arial" w:eastAsia="Arial" w:hAnsi="Arial"/>
          <w:sz w:val="22"/>
          <w:szCs w:val="22"/>
        </w:rPr>
        <w:t xml:space="preserve">cada cambio relevante queda documentado como artefacto versionado en Git, útil para auditoría interna, transferencia de conocimiento entre Costa Rica y Panamá, y análisis post-mortem de incidentes.</w:t>
      </w:r>
    </w:p>
    <w:p>
      <w:pPr>
        <w:pStyle w:val="ListParagraph"/>
        <w:numPr>
          <w:ilvl w:val="0"/>
          <w:numId w:val="2"/>
        </w:numPr>
        <w:spacing w:after="40" w:before="40"/>
      </w:pPr>
      <w:r>
        <w:rPr>
          <w:rFonts w:ascii="Arial" w:cs="Arial" w:eastAsia="Arial" w:hAnsi="Arial"/>
          <w:b/>
          <w:bCs/>
          <w:sz w:val="22"/>
          <w:szCs w:val="22"/>
        </w:rPr>
        <w:t xml:space="preserve">Alineamiento con buenas prácticas de seguridad: </w:t>
      </w:r>
      <w:r>
        <w:rPr>
          <w:rFonts w:ascii="Arial" w:cs="Arial" w:eastAsia="Arial" w:hAnsi="Arial"/>
          <w:sz w:val="22"/>
          <w:szCs w:val="22"/>
        </w:rPr>
        <w:t xml:space="preserve">cuando el equipo trabaja con sistemas que manejan datos de tarjeta, la especificación previa permite codificar restricciones de seguridad (manejo de PAN, requisitos de logging, validaciones) como parte del prompt al agente, reduciendo riesgo de errores que pasen a revisión.</w:t>
      </w:r>
    </w:p>
    <w:p>
      <w:pPr>
        <w:pStyle w:val="Heading2"/>
        <w:spacing w:after="120" w:before="240"/>
      </w:pPr>
      <w:r>
        <w:rPr>
          <w:rFonts w:ascii="Arial" w:cs="Arial" w:eastAsia="Arial" w:hAnsi="Arial"/>
          <w:b/>
          <w:bCs/>
          <w:color w:val="2E75B6"/>
          <w:sz w:val="24"/>
          <w:szCs w:val="24"/>
        </w:rPr>
        <w:t xml:space="preserve">2.3 Alineamiento estratégico</w:t>
      </w:r>
    </w:p>
    <w:p>
      <w:pPr>
        <w:spacing w:after="80" w:before="80"/>
        <w:jc w:val="both"/>
      </w:pPr>
      <w:r>
        <w:rPr>
          <w:rFonts w:ascii="Arial" w:cs="Arial" w:eastAsia="Arial" w:hAnsi="Arial"/>
          <w:b w:val="false"/>
          <w:bCs w:val="false"/>
          <w:i w:val="false"/>
          <w:iCs w:val="false"/>
          <w:color w:val="000000"/>
          <w:sz w:val="22"/>
          <w:szCs w:val="22"/>
        </w:rPr>
        <w:t xml:space="preserve">GitHub Copilot ya está aprobado en el Scotiabank Technology Standards Catalogue. Esta solicitud completa la cadena de herramientas oficiales de GitHub para operar Copilot en modo SDD, sin introducir un proveedor o stack nuevo. Se está habilitando la inversión existente en Copilot para alcanzar su potencial completo en lugar de usarlo solo como autocompletado de código.</w:t>
      </w:r>
    </w:p>
    <w:p>
      <w:pPr>
        <w:pStyle w:val="Heading1"/>
        <w:spacing w:after="180" w:before="360"/>
      </w:pPr>
      <w:r>
        <w:rPr>
          <w:rFonts w:ascii="Arial" w:cs="Arial" w:eastAsia="Arial" w:hAnsi="Arial"/>
          <w:b/>
          <w:bCs/>
          <w:color w:val="1F3864"/>
          <w:sz w:val="28"/>
          <w:szCs w:val="28"/>
        </w:rPr>
        <w:t xml:space="preserve">3. Componentes a instalar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248"/>
        <w:gridCol w:w="1872"/>
        <w:gridCol w:w="2496"/>
      </w:tblGrid>
      <w:tr>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Componente</w:t>
            </w:r>
          </w:p>
        </w:tc>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Proveedor</w:t>
            </w:r>
          </w:p>
        </w:tc>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Versión</w:t>
            </w:r>
          </w:p>
        </w:tc>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Licencia</w:t>
            </w:r>
          </w:p>
        </w:tc>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Propósito</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Python</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Python Software Foundation</w:t>
            </w:r>
          </w:p>
        </w:tc>
        <w:tc>
          <w:tcPr>
            <w:tcW w:type="dxa" w:w="12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3.12.x</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PSF License</w:t>
            </w:r>
          </w:p>
        </w:tc>
        <w:tc>
          <w:tcPr>
            <w:tcW w:type="dxa" w:w="249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Runtime requerido por Spec Kit</w:t>
            </w:r>
          </w:p>
        </w:tc>
      </w:tr>
      <w:tr>
        <w:tc>
          <w:tcPr>
            <w:tcW w:type="dxa" w:w="1872"/>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pip</w:t>
            </w:r>
          </w:p>
        </w:tc>
        <w:tc>
          <w:tcPr>
            <w:tcW w:type="dxa" w:w="1872"/>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Python Software Foundation</w:t>
            </w:r>
          </w:p>
        </w:tc>
        <w:tc>
          <w:tcPr>
            <w:tcW w:type="dxa" w:w="1248"/>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Incluido con Python</w:t>
            </w:r>
          </w:p>
        </w:tc>
        <w:tc>
          <w:tcPr>
            <w:tcW w:type="dxa" w:w="1872"/>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MIT</w:t>
            </w:r>
          </w:p>
        </w:tc>
        <w:tc>
          <w:tcPr>
            <w:tcW w:type="dxa" w:w="249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Gestor de paquetes de Python</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pipx</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PyPA</w:t>
            </w:r>
          </w:p>
        </w:tc>
        <w:tc>
          <w:tcPr>
            <w:tcW w:type="dxa" w:w="12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Última estable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MIT</w:t>
            </w:r>
          </w:p>
        </w:tc>
        <w:tc>
          <w:tcPr>
            <w:tcW w:type="dxa" w:w="249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Aislamiento de CLIs Python con exposición global</w:t>
            </w:r>
          </w:p>
        </w:tc>
      </w:tr>
      <w:tr>
        <w:tc>
          <w:tcPr>
            <w:tcW w:type="dxa" w:w="1872"/>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uv (recomendado)</w:t>
            </w:r>
          </w:p>
        </w:tc>
        <w:tc>
          <w:tcPr>
            <w:tcW w:type="dxa" w:w="1872"/>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Astral</w:t>
            </w:r>
          </w:p>
        </w:tc>
        <w:tc>
          <w:tcPr>
            <w:tcW w:type="dxa" w:w="1248"/>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Última estable</w:t>
            </w:r>
          </w:p>
        </w:tc>
        <w:tc>
          <w:tcPr>
            <w:tcW w:type="dxa" w:w="1872"/>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MIT / Apache 2.0</w:t>
            </w:r>
          </w:p>
        </w:tc>
        <w:tc>
          <w:tcPr>
            <w:tcW w:type="dxa" w:w="249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Gestor moderno recomendado por GitHub</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Spec Kit (specify-cli)</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GitHub</w:t>
            </w:r>
          </w:p>
        </w:tc>
        <w:tc>
          <w:tcPr>
            <w:tcW w:type="dxa" w:w="1248"/>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0.8.x o superior</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MIT</w:t>
            </w:r>
          </w:p>
        </w:tc>
        <w:tc>
          <w:tcPr>
            <w:tcW w:type="dxa" w:w="249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CLI oficial para Spec-Driven Development</w:t>
            </w:r>
          </w:p>
        </w:tc>
      </w:tr>
    </w:tbl>
    <w:p>
      <w:pPr>
        <w:spacing w:after="80" w:before="80"/>
        <w:jc w:val="both"/>
      </w:pPr>
      <w:r>
        <w:rPr>
          <w:rFonts w:ascii="Arial" w:cs="Arial" w:eastAsia="Arial" w:hAnsi="Arial"/>
          <w:b w:val="false"/>
          <w:bCs w:val="false"/>
          <w:i w:val="false"/>
          <w:iCs w:val="false"/>
          <w:color w:val="000000"/>
          <w:sz w:val="22"/>
          <w:szCs w:val="22"/>
        </w:rPr>
        <w:t xml:space="preserve"> </w:t>
      </w:r>
    </w:p>
    <w:p>
      <w:pPr>
        <w:spacing w:after="80" w:before="80"/>
        <w:jc w:val="both"/>
      </w:pPr>
      <w:r>
        <w:rPr>
          <w:rFonts w:ascii="Arial" w:cs="Arial" w:eastAsia="Arial" w:hAnsi="Arial"/>
          <w:b w:val="false"/>
          <w:bCs w:val="false"/>
          <w:i/>
          <w:iCs/>
          <w:color w:val="000000"/>
          <w:sz w:val="20"/>
          <w:szCs w:val="20"/>
        </w:rPr>
        <w:t xml:space="preserve">Todos los componentes son open-source, ampliamente adoptados en la industria del software, y mantenidos por proveedores reconocidos. GitHub Spec Kit cuenta con más de 93,000 estrellas en GitHub y está cubierto en el programa Microsoft Learn para entornos enterprise.</w:t>
      </w:r>
    </w:p>
    <w:p>
      <w:pPr>
        <w:pStyle w:val="Heading1"/>
        <w:spacing w:after="180" w:before="360"/>
      </w:pPr>
      <w:r>
        <w:rPr>
          <w:rFonts w:ascii="Arial" w:cs="Arial" w:eastAsia="Arial" w:hAnsi="Arial"/>
          <w:b/>
          <w:bCs/>
          <w:color w:val="1F3864"/>
          <w:sz w:val="28"/>
          <w:szCs w:val="28"/>
        </w:rPr>
        <w:t xml:space="preserve">4. Procedimiento de instalación (happy path)</w:t>
      </w:r>
    </w:p>
    <w:p>
      <w:pPr>
        <w:spacing w:after="80" w:before="80"/>
        <w:jc w:val="both"/>
      </w:pPr>
      <w:r>
        <w:rPr>
          <w:rFonts w:ascii="Arial" w:cs="Arial" w:eastAsia="Arial" w:hAnsi="Arial"/>
          <w:b w:val="false"/>
          <w:bCs w:val="false"/>
          <w:i w:val="false"/>
          <w:iCs w:val="false"/>
          <w:color w:val="000000"/>
          <w:sz w:val="22"/>
          <w:szCs w:val="22"/>
        </w:rPr>
        <w:t xml:space="preserve">El procedimiento que se solicita seguir es el documentado oficialmente por GitHub, sin workarounds. Se compone de cinco pasos secuenciales. Los pasos marcados con [ADMIN] requieren permisos administrativos en la estación de trabajo, que el solicitante no posee.</w:t>
      </w:r>
    </w:p>
    <w:p>
      <w:pPr>
        <w:pStyle w:val="Heading2"/>
        <w:spacing w:after="120" w:before="240"/>
      </w:pPr>
      <w:r>
        <w:rPr>
          <w:rFonts w:ascii="Arial" w:cs="Arial" w:eastAsia="Arial" w:hAnsi="Arial"/>
          <w:b/>
          <w:bCs/>
          <w:color w:val="2E75B6"/>
          <w:sz w:val="24"/>
          <w:szCs w:val="24"/>
        </w:rPr>
        <w:t xml:space="preserve">4.1 Paso 1 — [ADMIN] Instalación de Python 3.12</w:t>
      </w:r>
    </w:p>
    <w:p>
      <w:pPr>
        <w:spacing w:after="80" w:before="80"/>
        <w:jc w:val="both"/>
      </w:pPr>
      <w:r>
        <w:rPr>
          <w:rFonts w:ascii="Arial" w:cs="Arial" w:eastAsia="Arial" w:hAnsi="Arial"/>
          <w:b w:val="false"/>
          <w:bCs w:val="false"/>
          <w:i w:val="false"/>
          <w:iCs w:val="false"/>
          <w:color w:val="000000"/>
          <w:sz w:val="22"/>
          <w:szCs w:val="22"/>
        </w:rPr>
        <w:t xml:space="preserve">Acción solicitada a TI: instalación del MSI oficial de Python 3.12 (descargado desde https://www.python.org/downloads/) en la estación de trabajo, con las siguientes opciones:</w:t>
      </w:r>
    </w:p>
    <w:p>
      <w:pPr>
        <w:pStyle w:val="ListParagraph"/>
        <w:numPr>
          <w:ilvl w:val="0"/>
          <w:numId w:val="2"/>
        </w:numPr>
        <w:spacing w:after="40" w:before="40"/>
      </w:pPr>
      <w:r>
        <w:rPr>
          <w:rFonts w:ascii="Arial" w:cs="Arial" w:eastAsia="Arial" w:hAnsi="Arial"/>
          <w:sz w:val="22"/>
          <w:szCs w:val="22"/>
        </w:rPr>
        <w:t xml:space="preserve">Marcar la opción "Add Python to PATH" durante el wizard del MSI.</w:t>
      </w:r>
    </w:p>
    <w:p>
      <w:pPr>
        <w:pStyle w:val="ListParagraph"/>
        <w:numPr>
          <w:ilvl w:val="0"/>
          <w:numId w:val="2"/>
        </w:numPr>
        <w:spacing w:after="40" w:before="40"/>
      </w:pPr>
      <w:r>
        <w:rPr>
          <w:rFonts w:ascii="Arial" w:cs="Arial" w:eastAsia="Arial" w:hAnsi="Arial"/>
          <w:sz w:val="22"/>
          <w:szCs w:val="22"/>
        </w:rPr>
        <w:t xml:space="preserve">Marcar la opción "Install for all users" (instala en C:\Program Files\Python312\).</w:t>
      </w:r>
    </w:p>
    <w:p>
      <w:pPr>
        <w:pStyle w:val="ListParagraph"/>
        <w:numPr>
          <w:ilvl w:val="0"/>
          <w:numId w:val="2"/>
        </w:numPr>
        <w:spacing w:after="40" w:before="40"/>
      </w:pPr>
      <w:r>
        <w:rPr>
          <w:rFonts w:ascii="Arial" w:cs="Arial" w:eastAsia="Arial" w:hAnsi="Arial"/>
          <w:sz w:val="22"/>
          <w:szCs w:val="22"/>
        </w:rPr>
        <w:t xml:space="preserve">Verificar que pip queda incluido.</w:t>
      </w:r>
    </w:p>
    <w:p>
      <w:pPr>
        <w:spacing w:after="80" w:before="80"/>
        <w:jc w:val="both"/>
      </w:pPr>
      <w:r>
        <w:rPr>
          <w:rFonts w:ascii="Arial" w:cs="Arial" w:eastAsia="Arial" w:hAnsi="Arial"/>
          <w:b w:val="false"/>
          <w:bCs w:val="false"/>
          <w:i w:val="false"/>
          <w:iCs w:val="false"/>
          <w:color w:val="000000"/>
          <w:sz w:val="22"/>
          <w:szCs w:val="22"/>
        </w:rPr>
        <w:t xml:space="preserve">Validación posterior (puede ejecutar el solicitante):</w:t>
      </w:r>
    </w:p>
    <w:p>
      <w:pPr>
        <w:pBdr>
          <w:left w:val="single" w:color="2E75B6" w:sz="12" w:space="6"/>
        </w:pBdr>
        <w:shd w:fill="F4F4F4" w:color="auto" w:val="clear"/>
        <w:spacing w:after="60" w:before="60"/>
      </w:pPr>
      <w:r>
        <w:rPr>
          <w:rFonts w:ascii="Consolas" w:cs="Consolas" w:eastAsia="Consolas" w:hAnsi="Consolas"/>
          <w:color w:val="212121"/>
          <w:sz w:val="20"/>
          <w:szCs w:val="20"/>
        </w:rPr>
        <w:t xml:space="preserve">python --version         # Debe responder: Python 3.12.x</w:t>
      </w:r>
    </w:p>
    <w:p>
      <w:pPr>
        <w:pBdr>
          <w:left w:val="single" w:color="2E75B6" w:sz="12" w:space="6"/>
        </w:pBdr>
        <w:shd w:fill="F4F4F4" w:color="auto" w:val="clear"/>
        <w:spacing w:after="60" w:before="60"/>
      </w:pPr>
      <w:r>
        <w:rPr>
          <w:rFonts w:ascii="Consolas" w:cs="Consolas" w:eastAsia="Consolas" w:hAnsi="Consolas"/>
          <w:color w:val="212121"/>
          <w:sz w:val="20"/>
          <w:szCs w:val="20"/>
        </w:rPr>
        <w:t xml:space="preserve">python -m pip --version  # Debe responder: pip 24.x o superior</w:t>
      </w:r>
    </w:p>
    <w:p>
      <w:pPr>
        <w:pStyle w:val="Heading2"/>
        <w:spacing w:after="120" w:before="240"/>
      </w:pPr>
      <w:r>
        <w:rPr>
          <w:rFonts w:ascii="Arial" w:cs="Arial" w:eastAsia="Arial" w:hAnsi="Arial"/>
          <w:b/>
          <w:bCs/>
          <w:color w:val="2E75B6"/>
          <w:sz w:val="24"/>
          <w:szCs w:val="24"/>
        </w:rPr>
        <w:t xml:space="preserve">4.2 Paso 2 — Configuración de pip para el proxy corporativo</w:t>
      </w:r>
    </w:p>
    <w:p>
      <w:pPr>
        <w:spacing w:after="80" w:before="80"/>
        <w:jc w:val="both"/>
      </w:pPr>
      <w:r>
        <w:rPr>
          <w:rFonts w:ascii="Arial" w:cs="Arial" w:eastAsia="Arial" w:hAnsi="Arial"/>
          <w:b w:val="false"/>
          <w:bCs w:val="false"/>
          <w:i w:val="false"/>
          <w:iCs w:val="false"/>
          <w:color w:val="000000"/>
          <w:sz w:val="22"/>
          <w:szCs w:val="22"/>
        </w:rPr>
        <w:t xml:space="preserve">Esta configuración la puede ejecutar el solicitante sin permisos de administrador. Se documenta para que TI esté informado.</w:t>
      </w:r>
    </w:p>
    <w:p>
      <w:pPr>
        <w:spacing w:after="80" w:before="80"/>
        <w:jc w:val="both"/>
      </w:pPr>
      <w:r>
        <w:rPr>
          <w:rFonts w:ascii="Arial" w:cs="Arial" w:eastAsia="Arial" w:hAnsi="Arial"/>
          <w:b w:val="false"/>
          <w:bCs w:val="false"/>
          <w:i w:val="false"/>
          <w:iCs w:val="false"/>
          <w:color w:val="000000"/>
          <w:sz w:val="22"/>
          <w:szCs w:val="22"/>
        </w:rPr>
        <w:t xml:space="preserve">Contexto técnico: las estaciones de trabajo usan Zscaler Client Connector como proxy local en 127.0.0.1:9000. pip no detecta este proxy automáticamente y requiere configuración explícita.</w:t>
      </w:r>
    </w:p>
    <w:p>
      <w:pPr>
        <w:spacing w:after="80" w:before="80"/>
        <w:jc w:val="both"/>
      </w:pPr>
      <w:r>
        <w:rPr>
          <w:rFonts w:ascii="Arial" w:cs="Arial" w:eastAsia="Arial" w:hAnsi="Arial"/>
          <w:b w:val="false"/>
          <w:bCs w:val="false"/>
          <w:i w:val="false"/>
          <w:iCs w:val="false"/>
          <w:color w:val="000000"/>
          <w:sz w:val="22"/>
          <w:szCs w:val="22"/>
        </w:rPr>
        <w:t xml:space="preserve">Acción: crear el archivo de configuración de pip en el perfil del usuario:</w:t>
      </w:r>
    </w:p>
    <w:p>
      <w:pPr>
        <w:pBdr>
          <w:left w:val="single" w:color="2E75B6" w:sz="12" w:space="6"/>
        </w:pBdr>
        <w:shd w:fill="F4F4F4" w:color="auto" w:val="clear"/>
        <w:spacing w:after="60" w:before="60"/>
      </w:pPr>
      <w:r>
        <w:rPr>
          <w:rFonts w:ascii="Consolas" w:cs="Consolas" w:eastAsia="Consolas" w:hAnsi="Consolas"/>
          <w:color w:val="212121"/>
          <w:sz w:val="20"/>
          <w:szCs w:val="20"/>
        </w:rPr>
        <w:t xml:space="preserve">Ruta: %APPDATA%\pip\pip.ini</w:t>
      </w:r>
    </w:p>
    <w:p>
      <w:pPr>
        <w:spacing w:after="80" w:before="80"/>
        <w:jc w:val="both"/>
      </w:pPr>
      <w:r>
        <w:rPr>
          <w:rFonts w:ascii="Arial" w:cs="Arial" w:eastAsia="Arial" w:hAnsi="Arial"/>
          <w:b w:val="false"/>
          <w:bCs w:val="false"/>
          <w:i w:val="false"/>
          <w:iCs w:val="false"/>
          <w:color w:val="000000"/>
          <w:sz w:val="22"/>
          <w:szCs w:val="22"/>
        </w:rPr>
        <w:t xml:space="preserve">Contenido:</w:t>
      </w:r>
    </w:p>
    <w:p>
      <w:pPr>
        <w:pBdr>
          <w:left w:val="single" w:color="2E75B6" w:sz="12" w:space="6"/>
        </w:pBdr>
        <w:shd w:fill="F4F4F4" w:color="auto" w:val="clear"/>
        <w:spacing w:after="60" w:before="60"/>
      </w:pPr>
      <w:r>
        <w:rPr>
          <w:rFonts w:ascii="Consolas" w:cs="Consolas" w:eastAsia="Consolas" w:hAnsi="Consolas"/>
          <w:color w:val="212121"/>
          <w:sz w:val="20"/>
          <w:szCs w:val="20"/>
        </w:rPr>
        <w:t xml:space="preserve">[global]
proxy = http://127.0.0.1:9000
trusted-host = pypi.org
               files.pythonhosted.org
               pypi.python.org
timeout = 60</w:t>
      </w:r>
    </w:p>
    <w:p>
      <w:pPr>
        <w:spacing w:after="80" w:before="80"/>
        <w:jc w:val="both"/>
      </w:pPr>
      <w:r>
        <w:rPr>
          <w:rFonts w:ascii="Arial" w:cs="Arial" w:eastAsia="Arial" w:hAnsi="Arial"/>
          <w:b w:val="false"/>
          <w:bCs w:val="false"/>
          <w:i w:val="false"/>
          <w:iCs w:val="false"/>
          <w:color w:val="000000"/>
          <w:sz w:val="22"/>
          <w:szCs w:val="22"/>
        </w:rPr>
        <w:t xml:space="preserve">Justificación de parámetros:</w:t>
      </w:r>
    </w:p>
    <w:p>
      <w:pPr>
        <w:pStyle w:val="ListParagraph"/>
        <w:numPr>
          <w:ilvl w:val="0"/>
          <w:numId w:val="2"/>
        </w:numPr>
        <w:spacing w:after="40" w:before="40"/>
      </w:pPr>
      <w:r>
        <w:rPr>
          <w:rFonts w:ascii="Arial" w:cs="Arial" w:eastAsia="Arial" w:hAnsi="Arial"/>
          <w:b/>
          <w:bCs/>
          <w:sz w:val="22"/>
          <w:szCs w:val="22"/>
        </w:rPr>
        <w:t xml:space="preserve">proxy: </w:t>
      </w:r>
      <w:r>
        <w:rPr>
          <w:rFonts w:ascii="Arial" w:cs="Arial" w:eastAsia="Arial" w:hAnsi="Arial"/>
          <w:sz w:val="22"/>
          <w:szCs w:val="22"/>
        </w:rPr>
        <w:t xml:space="preserve">redirige las descargas de pip al proxy local de Zscaler para que la inspección de tráfico funcione correctamente.</w:t>
      </w:r>
    </w:p>
    <w:p>
      <w:pPr>
        <w:pStyle w:val="ListParagraph"/>
        <w:numPr>
          <w:ilvl w:val="0"/>
          <w:numId w:val="2"/>
        </w:numPr>
        <w:spacing w:after="40" w:before="40"/>
      </w:pPr>
      <w:r>
        <w:rPr>
          <w:rFonts w:ascii="Arial" w:cs="Arial" w:eastAsia="Arial" w:hAnsi="Arial"/>
          <w:b/>
          <w:bCs/>
          <w:sz w:val="22"/>
          <w:szCs w:val="22"/>
        </w:rPr>
        <w:t xml:space="preserve">trusted-host: </w:t>
      </w:r>
      <w:r>
        <w:rPr>
          <w:rFonts w:ascii="Arial" w:cs="Arial" w:eastAsia="Arial" w:hAnsi="Arial"/>
          <w:sz w:val="22"/>
          <w:szCs w:val="22"/>
        </w:rPr>
        <w:t xml:space="preserve">necesario porque Zscaler intercepta el tráfico HTTPS reemplazando el certificado de PyPI con uno propio (inspección SSL legítima). pip no confía en ese certificado por defecto. Esta opción es estándar en entornos corporativos con inspección SSL.</w:t>
      </w:r>
    </w:p>
    <w:p>
      <w:pPr>
        <w:pStyle w:val="ListParagraph"/>
        <w:numPr>
          <w:ilvl w:val="0"/>
          <w:numId w:val="2"/>
        </w:numPr>
        <w:spacing w:after="40" w:before="40"/>
      </w:pPr>
      <w:r>
        <w:rPr>
          <w:rFonts w:ascii="Arial" w:cs="Arial" w:eastAsia="Arial" w:hAnsi="Arial"/>
          <w:b/>
          <w:bCs/>
          <w:sz w:val="22"/>
          <w:szCs w:val="22"/>
        </w:rPr>
        <w:t xml:space="preserve">timeout: </w:t>
      </w:r>
      <w:r>
        <w:rPr>
          <w:rFonts w:ascii="Arial" w:cs="Arial" w:eastAsia="Arial" w:hAnsi="Arial"/>
          <w:sz w:val="22"/>
          <w:szCs w:val="22"/>
        </w:rPr>
        <w:t xml:space="preserve">extiende el timeout default (15s) para acomodar latencias adicionales del proxy.</w:t>
      </w:r>
    </w:p>
    <w:p>
      <w:pPr>
        <w:pStyle w:val="Heading2"/>
        <w:spacing w:after="120" w:before="240"/>
      </w:pPr>
      <w:r>
        <w:rPr>
          <w:rFonts w:ascii="Arial" w:cs="Arial" w:eastAsia="Arial" w:hAnsi="Arial"/>
          <w:b/>
          <w:bCs/>
          <w:color w:val="2E75B6"/>
          <w:sz w:val="24"/>
          <w:szCs w:val="24"/>
        </w:rPr>
        <w:t xml:space="preserve">4.3 Paso 3 — [ADMIN] Habilitación de dominios en política Zscaler</w:t>
      </w:r>
    </w:p>
    <w:p>
      <w:pPr>
        <w:spacing w:after="80" w:before="80"/>
        <w:jc w:val="both"/>
      </w:pPr>
      <w:r>
        <w:rPr>
          <w:rFonts w:ascii="Arial" w:cs="Arial" w:eastAsia="Arial" w:hAnsi="Arial"/>
          <w:b w:val="false"/>
          <w:bCs w:val="false"/>
          <w:i w:val="false"/>
          <w:iCs w:val="false"/>
          <w:color w:val="000000"/>
          <w:sz w:val="22"/>
          <w:szCs w:val="22"/>
        </w:rPr>
        <w:t xml:space="preserve">Se requiere whitelist de los siguientes dominios oficiales para permitir las descargas de paquetes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Dominio</w:t>
            </w:r>
          </w:p>
        </w:tc>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Propósito</w:t>
            </w:r>
          </w:p>
        </w:tc>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Tipo de tráfico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pypi.org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Índice oficial de paquetes Python</w:t>
            </w:r>
          </w:p>
        </w:tc>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HTTPS — metadata de paquetes</w:t>
            </w:r>
          </w:p>
        </w:tc>
      </w:tr>
      <w:tr>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files.pythonhosted.org</w:t>
            </w:r>
          </w:p>
        </w:tc>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CDN de binarios de PyPI</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HTTPS — descarga de wheels/sdist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pythonhosted.org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Dominio raíz de hosting PyPI</w:t>
            </w:r>
          </w:p>
        </w:tc>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HTTPS — redirecciones</w:t>
            </w:r>
          </w:p>
        </w:tc>
      </w:tr>
      <w:tr>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github.com</w:t>
            </w:r>
          </w:p>
        </w:tc>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Repositorio oficial github/spec-kit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HTTPS — git clone / instalación directa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objects.githubusercontent.com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Releases y artefactos de GitHub</w:t>
            </w:r>
          </w:p>
        </w:tc>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HTTPS — descarga de releases</w:t>
            </w:r>
          </w:p>
        </w:tc>
      </w:tr>
    </w:tbl>
    <w:p>
      <w:pPr>
        <w:spacing w:after="80" w:before="80"/>
        <w:jc w:val="both"/>
      </w:pPr>
      <w:r>
        <w:rPr>
          <w:rFonts w:ascii="Arial" w:cs="Arial" w:eastAsia="Arial" w:hAnsi="Arial"/>
          <w:b w:val="false"/>
          <w:bCs w:val="false"/>
          <w:i w:val="false"/>
          <w:iCs w:val="false"/>
          <w:color w:val="000000"/>
          <w:sz w:val="22"/>
          <w:szCs w:val="22"/>
        </w:rPr>
        <w:t xml:space="preserve"> </w:t>
      </w:r>
    </w:p>
    <w:p>
      <w:pPr>
        <w:spacing w:after="80" w:before="80"/>
        <w:jc w:val="both"/>
      </w:pPr>
      <w:r>
        <w:rPr>
          <w:rFonts w:ascii="Arial" w:cs="Arial" w:eastAsia="Arial" w:hAnsi="Arial"/>
          <w:b w:val="false"/>
          <w:bCs w:val="false"/>
          <w:i/>
          <w:iCs/>
          <w:color w:val="000000"/>
          <w:sz w:val="20"/>
          <w:szCs w:val="20"/>
        </w:rPr>
        <w:t xml:space="preserve">Si TI requiere, se puede limitar el acceso a estos dominios solo desde grupo AD específico de desarrolladores que vayan a usar SDD.</w:t>
      </w:r>
    </w:p>
    <w:p>
      <w:pPr>
        <w:pStyle w:val="Heading2"/>
        <w:spacing w:after="120" w:before="240"/>
      </w:pPr>
      <w:r>
        <w:rPr>
          <w:rFonts w:ascii="Arial" w:cs="Arial" w:eastAsia="Arial" w:hAnsi="Arial"/>
          <w:b/>
          <w:bCs/>
          <w:color w:val="2E75B6"/>
          <w:sz w:val="24"/>
          <w:szCs w:val="24"/>
        </w:rPr>
        <w:t xml:space="preserve">4.4 Paso 4 — Instalación de pipx</w:t>
      </w:r>
    </w:p>
    <w:p>
      <w:pPr>
        <w:spacing w:after="80" w:before="80"/>
        <w:jc w:val="both"/>
      </w:pPr>
      <w:r>
        <w:rPr>
          <w:rFonts w:ascii="Arial" w:cs="Arial" w:eastAsia="Arial" w:hAnsi="Arial"/>
          <w:b w:val="false"/>
          <w:bCs w:val="false"/>
          <w:i w:val="false"/>
          <w:iCs w:val="false"/>
          <w:color w:val="000000"/>
          <w:sz w:val="22"/>
          <w:szCs w:val="22"/>
        </w:rPr>
        <w:t xml:space="preserve">Este paso lo puede ejecutar el solicitante una vez completados los pasos 1-3.</w:t>
      </w:r>
    </w:p>
    <w:p>
      <w:pPr>
        <w:pBdr>
          <w:left w:val="single" w:color="2E75B6" w:sz="12" w:space="6"/>
        </w:pBdr>
        <w:shd w:fill="F4F4F4" w:color="auto" w:val="clear"/>
        <w:spacing w:after="60" w:before="60"/>
      </w:pPr>
      <w:r>
        <w:rPr>
          <w:rFonts w:ascii="Consolas" w:cs="Consolas" w:eastAsia="Consolas" w:hAnsi="Consolas"/>
          <w:color w:val="212121"/>
          <w:sz w:val="20"/>
          <w:szCs w:val="20"/>
        </w:rPr>
        <w:t xml:space="preserve">python -m pip install --user pipx
python -m pipx ensurepath</w:t>
      </w:r>
    </w:p>
    <w:p>
      <w:pPr>
        <w:spacing w:after="80" w:before="80"/>
        <w:jc w:val="both"/>
      </w:pPr>
      <w:r>
        <w:rPr>
          <w:rFonts w:ascii="Arial" w:cs="Arial" w:eastAsia="Arial" w:hAnsi="Arial"/>
          <w:b w:val="false"/>
          <w:bCs w:val="false"/>
          <w:i w:val="false"/>
          <w:iCs w:val="false"/>
          <w:color w:val="000000"/>
          <w:sz w:val="22"/>
          <w:szCs w:val="22"/>
        </w:rPr>
        <w:t xml:space="preserve">El comando ensurepath agrega automáticamente el directorio %APPDATA%\Python\Python312\Scripts al PATH del usuario actual (no requiere admin).</w:t>
      </w:r>
    </w:p>
    <w:p>
      <w:pPr>
        <w:spacing w:after="80" w:before="80"/>
        <w:jc w:val="both"/>
      </w:pPr>
      <w:r>
        <w:rPr>
          <w:rFonts w:ascii="Arial" w:cs="Arial" w:eastAsia="Arial" w:hAnsi="Arial"/>
          <w:b w:val="false"/>
          <w:bCs w:val="false"/>
          <w:i w:val="false"/>
          <w:iCs w:val="false"/>
          <w:color w:val="000000"/>
          <w:sz w:val="22"/>
          <w:szCs w:val="22"/>
        </w:rPr>
        <w:t xml:space="preserve">Justificación de pipx: instala cada herramienta CLI Python en un entorno virtual aislado pero la expone globalmente en el PATH. Es la práctica recomendada por la comunidad Python para herramientas como specify-cli, evitando contaminación del Python global.</w:t>
      </w:r>
    </w:p>
    <w:p>
      <w:pPr>
        <w:pStyle w:val="Heading2"/>
        <w:spacing w:after="120" w:before="240"/>
      </w:pPr>
      <w:r>
        <w:rPr>
          <w:rFonts w:ascii="Arial" w:cs="Arial" w:eastAsia="Arial" w:hAnsi="Arial"/>
          <w:b/>
          <w:bCs/>
          <w:color w:val="2E75B6"/>
          <w:sz w:val="24"/>
          <w:szCs w:val="24"/>
        </w:rPr>
        <w:t xml:space="preserve">4.5 Paso 5 — Instalación de Spec Kit</w:t>
      </w:r>
    </w:p>
    <w:p>
      <w:pPr>
        <w:spacing w:after="80" w:before="80"/>
        <w:jc w:val="both"/>
      </w:pPr>
      <w:r>
        <w:rPr>
          <w:rFonts w:ascii="Arial" w:cs="Arial" w:eastAsia="Arial" w:hAnsi="Arial"/>
          <w:b w:val="false"/>
          <w:bCs w:val="false"/>
          <w:i w:val="false"/>
          <w:iCs w:val="false"/>
          <w:color w:val="000000"/>
          <w:sz w:val="22"/>
          <w:szCs w:val="22"/>
        </w:rPr>
        <w:t xml:space="preserve">Instalación desde el repositorio oficial de GitHub:</w:t>
      </w:r>
    </w:p>
    <w:p>
      <w:pPr>
        <w:pBdr>
          <w:left w:val="single" w:color="2E75B6" w:sz="12" w:space="6"/>
        </w:pBdr>
        <w:shd w:fill="F4F4F4" w:color="auto" w:val="clear"/>
        <w:spacing w:after="60" w:before="60"/>
      </w:pPr>
      <w:r>
        <w:rPr>
          <w:rFonts w:ascii="Consolas" w:cs="Consolas" w:eastAsia="Consolas" w:hAnsi="Consolas"/>
          <w:color w:val="212121"/>
          <w:sz w:val="20"/>
          <w:szCs w:val="20"/>
        </w:rPr>
        <w:t xml:space="preserve">pipx install specify-cli --pip-args="--proxy http://127.0.0.1:9000 --trusted-host pypi.org --trusted-host files.pythonhosted.org"</w:t>
      </w:r>
    </w:p>
    <w:p>
      <w:pPr>
        <w:spacing w:after="80" w:before="80"/>
        <w:jc w:val="both"/>
      </w:pPr>
      <w:r>
        <w:rPr>
          <w:rFonts w:ascii="Arial" w:cs="Arial" w:eastAsia="Arial" w:hAnsi="Arial"/>
          <w:b w:val="false"/>
          <w:bCs w:val="false"/>
          <w:i w:val="false"/>
          <w:iCs w:val="false"/>
          <w:color w:val="000000"/>
          <w:sz w:val="22"/>
          <w:szCs w:val="22"/>
        </w:rPr>
        <w:t xml:space="preserve">Verificación:</w:t>
      </w:r>
    </w:p>
    <w:p>
      <w:pPr>
        <w:pBdr>
          <w:left w:val="single" w:color="2E75B6" w:sz="12" w:space="6"/>
        </w:pBdr>
        <w:shd w:fill="F4F4F4" w:color="auto" w:val="clear"/>
        <w:spacing w:after="60" w:before="60"/>
      </w:pPr>
      <w:r>
        <w:rPr>
          <w:rFonts w:ascii="Consolas" w:cs="Consolas" w:eastAsia="Consolas" w:hAnsi="Consolas"/>
          <w:color w:val="212121"/>
          <w:sz w:val="20"/>
          <w:szCs w:val="20"/>
        </w:rPr>
        <w:t xml:space="preserve">specify check</w:t>
      </w:r>
    </w:p>
    <w:p>
      <w:pPr>
        <w:spacing w:after="80" w:before="80"/>
        <w:jc w:val="both"/>
      </w:pPr>
      <w:r>
        <w:rPr>
          <w:rFonts w:ascii="Arial" w:cs="Arial" w:eastAsia="Arial" w:hAnsi="Arial"/>
          <w:b w:val="false"/>
          <w:bCs w:val="false"/>
          <w:i w:val="false"/>
          <w:iCs w:val="false"/>
          <w:color w:val="000000"/>
          <w:sz w:val="22"/>
          <w:szCs w:val="22"/>
        </w:rPr>
        <w:t xml:space="preserve">La salida esperada es "Specify CLI is ready to use!" junto con una lista de coding agents detectados (incluyendo GitHub Copilot como IDE-based).</w:t>
      </w:r>
    </w:p>
    <w:p>
      <w:pPr>
        <w:pStyle w:val="Heading1"/>
        <w:spacing w:after="180" w:before="360"/>
      </w:pPr>
      <w:r>
        <w:rPr>
          <w:rFonts w:ascii="Arial" w:cs="Arial" w:eastAsia="Arial" w:hAnsi="Arial"/>
          <w:b/>
          <w:bCs/>
          <w:color w:val="1F3864"/>
          <w:sz w:val="28"/>
          <w:szCs w:val="28"/>
        </w:rPr>
        <w:t xml:space="preserve">5. Permisos administrativos requeridos</w:t>
      </w:r>
    </w:p>
    <w:p>
      <w:pPr>
        <w:spacing w:after="80" w:before="80"/>
        <w:jc w:val="both"/>
      </w:pPr>
      <w:r>
        <w:rPr>
          <w:rFonts w:ascii="Arial" w:cs="Arial" w:eastAsia="Arial" w:hAnsi="Arial"/>
          <w:b w:val="false"/>
          <w:bCs w:val="false"/>
          <w:i w:val="false"/>
          <w:iCs w:val="false"/>
          <w:color w:val="000000"/>
          <w:sz w:val="22"/>
          <w:szCs w:val="22"/>
        </w:rPr>
        <w:t xml:space="preserve">Resumen consolidado de los puntos del procedimiento donde se requieren permisos de administrador en la estación de trabajo, para que TI pueda agendar una intervención única: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3120"/>
        <w:gridCol w:w="5616"/>
      </w:tblGrid>
      <w:tr>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w:t>
            </w:r>
          </w:p>
        </w:tc>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Acción</w:t>
            </w:r>
          </w:p>
        </w:tc>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Justificación</w:t>
            </w:r>
          </w:p>
        </w:tc>
      </w:tr>
      <w:tr>
        <w:tc>
          <w:tcPr>
            <w:tcW w:type="dxa" w:w="624"/>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1</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Instalación de Python 3.12 MSI</w:t>
            </w:r>
          </w:p>
        </w:tc>
        <w:tc>
          <w:tcPr>
            <w:tcW w:type="dxa" w:w="561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Instala binarios en C:\Program Files\Python312\, requiere escritura en Program Files</w:t>
            </w:r>
          </w:p>
        </w:tc>
      </w:tr>
      <w:tr>
        <w:tc>
          <w:tcPr>
            <w:tcW w:type="dxa" w:w="624"/>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2</w:t>
            </w:r>
          </w:p>
        </w:tc>
        <w:tc>
          <w:tcPr>
            <w:tcW w:type="dxa" w:w="3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Agregar Python al PATH del sistema</w:t>
            </w:r>
          </w:p>
        </w:tc>
        <w:tc>
          <w:tcPr>
            <w:tcW w:type="dxa" w:w="561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Modificación de variable PATH a nivel sistema durante el wizard del MSI</w:t>
            </w:r>
          </w:p>
        </w:tc>
      </w:tr>
      <w:tr>
        <w:tc>
          <w:tcPr>
            <w:tcW w:type="dxa" w:w="624"/>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3</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Whitelist de dominios en Zscaler</w:t>
            </w:r>
          </w:p>
        </w:tc>
        <w:tc>
          <w:tcPr>
            <w:tcW w:type="dxa" w:w="561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Modificación de política CHG0696149 para permitir tráfico hacia PyPI y GitHub</w:t>
            </w:r>
          </w:p>
        </w:tc>
      </w:tr>
    </w:tbl>
    <w:p>
      <w:pPr>
        <w:spacing w:after="80" w:before="80"/>
        <w:jc w:val="both"/>
      </w:pPr>
      <w:r>
        <w:rPr>
          <w:rFonts w:ascii="Arial" w:cs="Arial" w:eastAsia="Arial" w:hAnsi="Arial"/>
          <w:b w:val="false"/>
          <w:bCs w:val="false"/>
          <w:i w:val="false"/>
          <w:iCs w:val="false"/>
          <w:color w:val="000000"/>
          <w:sz w:val="22"/>
          <w:szCs w:val="22"/>
        </w:rPr>
        <w:t xml:space="preserve"> </w:t>
      </w:r>
    </w:p>
    <w:p>
      <w:pPr>
        <w:spacing w:after="80" w:before="80"/>
        <w:jc w:val="both"/>
      </w:pPr>
      <w:r>
        <w:rPr>
          <w:rFonts w:ascii="Arial" w:cs="Arial" w:eastAsia="Arial" w:hAnsi="Arial"/>
          <w:b w:val="false"/>
          <w:bCs w:val="false"/>
          <w:i/>
          <w:iCs/>
          <w:color w:val="000000"/>
          <w:sz w:val="20"/>
          <w:szCs w:val="20"/>
        </w:rPr>
        <w:t xml:space="preserve">Los pasos 4 y 5 del procedimiento (pipx y specify-cli) NO requieren permisos administrativos — se ejecutan en el perfil del usuario.</w:t>
      </w:r>
    </w:p>
    <w:p>
      <w:pPr>
        <w:pStyle w:val="Heading1"/>
        <w:spacing w:after="180" w:before="360"/>
      </w:pPr>
      <w:r>
        <w:rPr>
          <w:rFonts w:ascii="Arial" w:cs="Arial" w:eastAsia="Arial" w:hAnsi="Arial"/>
          <w:b/>
          <w:bCs/>
          <w:color w:val="1F3864"/>
          <w:sz w:val="28"/>
          <w:szCs w:val="28"/>
        </w:rPr>
        <w:t xml:space="preserve">6. Análisis de riesgo y controles compensatorios</w:t>
      </w:r>
    </w:p>
    <w:p>
      <w:pPr>
        <w:pStyle w:val="Heading2"/>
        <w:spacing w:after="120" w:before="240"/>
      </w:pPr>
      <w:r>
        <w:rPr>
          <w:rFonts w:ascii="Arial" w:cs="Arial" w:eastAsia="Arial" w:hAnsi="Arial"/>
          <w:b/>
          <w:bCs/>
          <w:color w:val="2E75B6"/>
          <w:sz w:val="24"/>
          <w:szCs w:val="24"/>
        </w:rPr>
        <w:t xml:space="preserve">6.1 Riesgos considerados</w:t>
      </w:r>
    </w:p>
    <w:p>
      <w:pPr>
        <w:pStyle w:val="ListParagraph"/>
        <w:numPr>
          <w:ilvl w:val="0"/>
          <w:numId w:val="2"/>
        </w:numPr>
        <w:spacing w:after="40" w:before="40"/>
      </w:pPr>
      <w:r>
        <w:rPr>
          <w:rFonts w:ascii="Arial" w:cs="Arial" w:eastAsia="Arial" w:hAnsi="Arial"/>
          <w:b/>
          <w:bCs/>
          <w:sz w:val="22"/>
          <w:szCs w:val="22"/>
        </w:rPr>
        <w:t xml:space="preserve">Supply chain attack vía paquete malicioso de PyPI: </w:t>
      </w:r>
      <w:r>
        <w:rPr>
          <w:rFonts w:ascii="Arial" w:cs="Arial" w:eastAsia="Arial" w:hAnsi="Arial"/>
          <w:sz w:val="22"/>
          <w:szCs w:val="22"/>
        </w:rPr>
        <w:t xml:space="preserve">Riesgo bajo. Solo se instalan tres paquetes identificados (pipx, specify-cli, sus dependencias transitivas). Todos provienen de proveedores establecidos con firmas verificables (PyPA, GitHub, Astral). No se autoriza pip install genérico de paquetes arbitrarios.</w:t>
      </w:r>
    </w:p>
    <w:p>
      <w:pPr>
        <w:pStyle w:val="ListParagraph"/>
        <w:numPr>
          <w:ilvl w:val="0"/>
          <w:numId w:val="2"/>
        </w:numPr>
        <w:spacing w:after="40" w:before="40"/>
      </w:pPr>
      <w:r>
        <w:rPr>
          <w:rFonts w:ascii="Arial" w:cs="Arial" w:eastAsia="Arial" w:hAnsi="Arial"/>
          <w:b/>
          <w:bCs/>
          <w:sz w:val="22"/>
          <w:szCs w:val="22"/>
        </w:rPr>
        <w:t xml:space="preserve">Exposición de datos sensibles: </w:t>
      </w:r>
      <w:r>
        <w:rPr>
          <w:rFonts w:ascii="Arial" w:cs="Arial" w:eastAsia="Arial" w:hAnsi="Arial"/>
          <w:sz w:val="22"/>
          <w:szCs w:val="22"/>
        </w:rPr>
        <w:t xml:space="preserve">Las herramientas operan en la estación de trabajo del desarrollador. No procesan ni transmiten datos productivos. Cualquier código generado pasa por los procesos de revisión existentes antes de ser integrado en aplicaciones que sí tocan datos sensibles.</w:t>
      </w:r>
    </w:p>
    <w:p>
      <w:pPr>
        <w:pStyle w:val="ListParagraph"/>
        <w:numPr>
          <w:ilvl w:val="0"/>
          <w:numId w:val="2"/>
        </w:numPr>
        <w:spacing w:after="40" w:before="40"/>
      </w:pPr>
      <w:r>
        <w:rPr>
          <w:rFonts w:ascii="Arial" w:cs="Arial" w:eastAsia="Arial" w:hAnsi="Arial"/>
          <w:b/>
          <w:bCs/>
          <w:sz w:val="22"/>
          <w:szCs w:val="22"/>
        </w:rPr>
        <w:t xml:space="preserve">Persistencia post-instalación: </w:t>
      </w:r>
      <w:r>
        <w:rPr>
          <w:rFonts w:ascii="Arial" w:cs="Arial" w:eastAsia="Arial" w:hAnsi="Arial"/>
          <w:sz w:val="22"/>
          <w:szCs w:val="22"/>
        </w:rPr>
        <w:t xml:space="preserve">Controlable. Python se instala en C:\Program Files\Python312\ (auditable). Las herramientas adicionales viven en el perfil de usuario, visibles para el EDR existente.</w:t>
      </w:r>
    </w:p>
    <w:p>
      <w:pPr>
        <w:pStyle w:val="ListParagraph"/>
        <w:numPr>
          <w:ilvl w:val="0"/>
          <w:numId w:val="2"/>
        </w:numPr>
        <w:spacing w:after="40" w:before="40"/>
      </w:pPr>
      <w:r>
        <w:rPr>
          <w:rFonts w:ascii="Arial" w:cs="Arial" w:eastAsia="Arial" w:hAnsi="Arial"/>
          <w:b/>
          <w:bCs/>
          <w:sz w:val="22"/>
          <w:szCs w:val="22"/>
        </w:rPr>
        <w:t xml:space="preserve">Bypass de Zscaler vía configuración trusted-host: </w:t>
      </w:r>
      <w:r>
        <w:rPr>
          <w:rFonts w:ascii="Arial" w:cs="Arial" w:eastAsia="Arial" w:hAnsi="Arial"/>
          <w:sz w:val="22"/>
          <w:szCs w:val="22"/>
        </w:rPr>
        <w:t xml:space="preserve">Limitado al alcance de pip. La opción trusted-host solo afecta a pip al descargar paquetes; no afecta el tráfico general del sistema ni introduce un bypass amplio de la inspección SSL.</w:t>
      </w:r>
    </w:p>
    <w:p>
      <w:pPr>
        <w:pStyle w:val="Heading2"/>
        <w:spacing w:after="120" w:before="240"/>
      </w:pPr>
      <w:r>
        <w:rPr>
          <w:rFonts w:ascii="Arial" w:cs="Arial" w:eastAsia="Arial" w:hAnsi="Arial"/>
          <w:b/>
          <w:bCs/>
          <w:color w:val="2E75B6"/>
          <w:sz w:val="24"/>
          <w:szCs w:val="24"/>
        </w:rPr>
        <w:t xml:space="preserve">6.2 Controles compensatorios propuestos</w:t>
      </w:r>
    </w:p>
    <w:p>
      <w:pPr>
        <w:pStyle w:val="ListParagraph"/>
        <w:numPr>
          <w:ilvl w:val="0"/>
          <w:numId w:val="2"/>
        </w:numPr>
        <w:spacing w:after="40" w:before="40"/>
      </w:pPr>
      <w:r>
        <w:rPr>
          <w:rFonts w:ascii="Arial" w:cs="Arial" w:eastAsia="Arial" w:hAnsi="Arial"/>
          <w:sz w:val="22"/>
          <w:szCs w:val="22"/>
        </w:rPr>
        <w:t xml:space="preserve">Verificación de checksum SHA-256 del MSI de Python contra el publicado por python.org antes de instalar.</w:t>
      </w:r>
    </w:p>
    <w:p>
      <w:pPr>
        <w:pStyle w:val="ListParagraph"/>
        <w:numPr>
          <w:ilvl w:val="0"/>
          <w:numId w:val="2"/>
        </w:numPr>
        <w:spacing w:after="40" w:before="40"/>
      </w:pPr>
      <w:r>
        <w:rPr>
          <w:rFonts w:ascii="Arial" w:cs="Arial" w:eastAsia="Arial" w:hAnsi="Arial"/>
          <w:sz w:val="22"/>
          <w:szCs w:val="22"/>
        </w:rPr>
        <w:t xml:space="preserve">Restricción de la whitelist Zscaler al grupo AD del equipo CCA Credit Card Support, no a toda la organización.</w:t>
      </w:r>
    </w:p>
    <w:p>
      <w:pPr>
        <w:pStyle w:val="ListParagraph"/>
        <w:numPr>
          <w:ilvl w:val="0"/>
          <w:numId w:val="2"/>
        </w:numPr>
        <w:spacing w:after="40" w:before="40"/>
      </w:pPr>
      <w:r>
        <w:rPr>
          <w:rFonts w:ascii="Arial" w:cs="Arial" w:eastAsia="Arial" w:hAnsi="Arial"/>
          <w:sz w:val="22"/>
          <w:szCs w:val="22"/>
        </w:rPr>
        <w:t xml:space="preserve">Documentación del set de paquetes Python autorizado y revisión periódica.</w:t>
      </w:r>
    </w:p>
    <w:p>
      <w:pPr>
        <w:pStyle w:val="ListParagraph"/>
        <w:numPr>
          <w:ilvl w:val="0"/>
          <w:numId w:val="2"/>
        </w:numPr>
        <w:spacing w:after="40" w:before="40"/>
      </w:pPr>
      <w:r>
        <w:rPr>
          <w:rFonts w:ascii="Arial" w:cs="Arial" w:eastAsia="Arial" w:hAnsi="Arial"/>
          <w:sz w:val="22"/>
          <w:szCs w:val="22"/>
        </w:rPr>
        <w:t xml:space="preserve">Todo código generado con estas herramientas sigue los procesos de revisión y aprobación vigentes del equipo antes de ser usado en ambientes productivos.</w:t>
      </w:r>
    </w:p>
    <w:p>
      <w:pPr>
        <w:pStyle w:val="ListParagraph"/>
        <w:numPr>
          <w:ilvl w:val="0"/>
          <w:numId w:val="2"/>
        </w:numPr>
        <w:spacing w:after="40" w:before="40"/>
      </w:pPr>
      <w:r>
        <w:rPr>
          <w:rFonts w:ascii="Arial" w:cs="Arial" w:eastAsia="Arial" w:hAnsi="Arial"/>
          <w:sz w:val="22"/>
          <w:szCs w:val="22"/>
        </w:rPr>
        <w:t xml:space="preserve">Auditoría periódica de versiones instaladas a través del inventario de software existente.</w:t>
      </w:r>
    </w:p>
    <w:p>
      <w:pPr>
        <w:pStyle w:val="Heading1"/>
        <w:spacing w:after="180" w:before="360"/>
      </w:pPr>
      <w:r>
        <w:rPr>
          <w:rFonts w:ascii="Arial" w:cs="Arial" w:eastAsia="Arial" w:hAnsi="Arial"/>
          <w:b/>
          <w:bCs/>
          <w:color w:val="1F3864"/>
          <w:sz w:val="28"/>
          <w:szCs w:val="28"/>
        </w:rPr>
        <w:t xml:space="preserve">7. Alternativas consideradas</w:t>
      </w:r>
    </w:p>
    <w:p>
      <w:pPr>
        <w:spacing w:after="80" w:before="80"/>
        <w:jc w:val="both"/>
      </w:pPr>
      <w:r>
        <w:rPr>
          <w:rFonts w:ascii="Arial" w:cs="Arial" w:eastAsia="Arial" w:hAnsi="Arial"/>
          <w:b w:val="false"/>
          <w:bCs w:val="false"/>
          <w:i w:val="false"/>
          <w:iCs w:val="false"/>
          <w:color w:val="000000"/>
          <w:sz w:val="22"/>
          <w:szCs w:val="22"/>
        </w:rPr>
        <w:t xml:space="preserve">Antes de presentar esta solicitud se evaluaron y descartaron las siguientes alternativas, documentadas aquí para transparencia: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2808"/>
        <w:gridCol w:w="4056"/>
      </w:tblGrid>
      <w:tr>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Alternativa</w:t>
            </w:r>
          </w:p>
        </w:tc>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Resultado</w:t>
            </w:r>
          </w:p>
        </w:tc>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Por qué no es viable como solución permanente</w:t>
            </w:r>
          </w:p>
        </w:tc>
      </w:tr>
      <w:tr>
        <w:tc>
          <w:tcPr>
            <w:tcW w:type="dxa" w:w="249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winget install python</w:t>
            </w:r>
          </w:p>
        </w:tc>
        <w:tc>
          <w:tcPr>
            <w:tcW w:type="dxa" w:w="2808"/>
            <w:tcBorders>
              <w:top w:val="single" w:color="BFBFBF" w:sz="4"/>
              <w:left w:val="single" w:color="BFBFBF" w:sz="4"/>
              <w:bottom w:val="single" w:color="BFBFBF" w:sz="4"/>
              <w:right w:val="single" w:color="BFBFBF" w:sz="4"/>
            </w:tcBorders>
            <w:shd w:fill="FCE4D6" w:color="auto" w:val="clear"/>
            <w:tcMar>
              <w:top w:type="dxa" w:w="100"/>
              <w:left w:type="dxa" w:w="140"/>
              <w:bottom w:type="dxa" w:w="100"/>
              <w:right w:type="dxa" w:w="140"/>
            </w:tcMar>
          </w:tcPr>
          <w:p>
            <w:r>
              <w:rPr>
                <w:rFonts w:ascii="Arial" w:cs="Arial" w:eastAsia="Arial" w:hAnsi="Arial"/>
                <w:b w:val="false"/>
                <w:bCs w:val="false"/>
                <w:sz w:val="20"/>
                <w:szCs w:val="20"/>
              </w:rPr>
              <w:t xml:space="preserve">Bloqueado</w:t>
            </w:r>
          </w:p>
        </w:tc>
        <w:tc>
          <w:tcPr>
            <w:tcW w:type="dxa" w:w="405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Error 0x8a15000f — fuente winget no accesible desde la red corporativa</w:t>
            </w:r>
          </w:p>
        </w:tc>
      </w:tr>
      <w:tr>
        <w:tc>
          <w:tcPr>
            <w:tcW w:type="dxa" w:w="249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Script remoto astral.sh para uv</w:t>
            </w:r>
          </w:p>
        </w:tc>
        <w:tc>
          <w:tcPr>
            <w:tcW w:type="dxa" w:w="2808"/>
            <w:tcBorders>
              <w:top w:val="single" w:color="BFBFBF" w:sz="4"/>
              <w:left w:val="single" w:color="BFBFBF" w:sz="4"/>
              <w:bottom w:val="single" w:color="BFBFBF" w:sz="4"/>
              <w:right w:val="single" w:color="BFBFBF" w:sz="4"/>
            </w:tcBorders>
            <w:shd w:fill="FCE4D6" w:color="auto" w:val="clear"/>
            <w:tcMar>
              <w:top w:type="dxa" w:w="100"/>
              <w:left w:type="dxa" w:w="140"/>
              <w:bottom w:type="dxa" w:w="100"/>
              <w:right w:type="dxa" w:w="140"/>
            </w:tcMar>
          </w:tcPr>
          <w:p>
            <w:r>
              <w:rPr>
                <w:rFonts w:ascii="Arial" w:cs="Arial" w:eastAsia="Arial" w:hAnsi="Arial"/>
                <w:b w:val="false"/>
                <w:bCs w:val="false"/>
                <w:sz w:val="20"/>
                <w:szCs w:val="20"/>
              </w:rPr>
              <w:t xml:space="preserve">Bloqueado</w:t>
            </w:r>
          </w:p>
        </w:tc>
        <w:tc>
          <w:tcPr>
            <w:tcW w:type="dxa" w:w="405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Zscaler regla File_L1+_IT&amp;S_GTS_Block_Down impide descarga de .ps1</w:t>
            </w:r>
          </w:p>
        </w:tc>
      </w:tr>
      <w:tr>
        <w:tc>
          <w:tcPr>
            <w:tcW w:type="dxa" w:w="249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Microsoft Store (Python)</w:t>
            </w:r>
          </w:p>
        </w:tc>
        <w:tc>
          <w:tcPr>
            <w:tcW w:type="dxa" w:w="2808"/>
            <w:tcBorders>
              <w:top w:val="single" w:color="BFBFBF" w:sz="4"/>
              <w:left w:val="single" w:color="BFBFBF" w:sz="4"/>
              <w:bottom w:val="single" w:color="BFBFBF" w:sz="4"/>
              <w:right w:val="single" w:color="BFBFBF" w:sz="4"/>
            </w:tcBorders>
            <w:shd w:fill="FCE4D6" w:color="auto" w:val="clear"/>
            <w:tcMar>
              <w:top w:type="dxa" w:w="100"/>
              <w:left w:type="dxa" w:w="140"/>
              <w:bottom w:type="dxa" w:w="100"/>
              <w:right w:type="dxa" w:w="140"/>
            </w:tcMar>
          </w:tcPr>
          <w:p>
            <w:r>
              <w:rPr>
                <w:rFonts w:ascii="Arial" w:cs="Arial" w:eastAsia="Arial" w:hAnsi="Arial"/>
                <w:b w:val="false"/>
                <w:bCs w:val="false"/>
                <w:sz w:val="20"/>
                <w:szCs w:val="20"/>
              </w:rPr>
              <w:t xml:space="preserve">Bloqueado</w:t>
            </w:r>
          </w:p>
        </w:tc>
        <w:tc>
          <w:tcPr>
            <w:tcW w:type="dxa" w:w="405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Microsoft Store deshabilitada en estaciones corporativas</w:t>
            </w:r>
          </w:p>
        </w:tc>
      </w:tr>
      <w:tr>
        <w:tc>
          <w:tcPr>
            <w:tcW w:type="dxa" w:w="249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Python embebible (ZIP portable)</w:t>
            </w:r>
          </w:p>
        </w:tc>
        <w:tc>
          <w:tcPr>
            <w:tcW w:type="dxa" w:w="2808"/>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r>
              <w:rPr>
                <w:rFonts w:ascii="Arial" w:cs="Arial" w:eastAsia="Arial" w:hAnsi="Arial"/>
                <w:b w:val="false"/>
                <w:bCs w:val="false"/>
                <w:sz w:val="20"/>
                <w:szCs w:val="20"/>
              </w:rPr>
              <w:t xml:space="preserve">Viable pero frágil</w:t>
            </w:r>
          </w:p>
        </w:tc>
        <w:tc>
          <w:tcPr>
            <w:tcW w:type="dxa" w:w="405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No requiere admin pero pip no incluido por defecto; instalación manual compleja; sin actualizaciones automáticas; no es happy path soportado</w:t>
            </w:r>
          </w:p>
        </w:tc>
      </w:tr>
      <w:tr>
        <w:tc>
          <w:tcPr>
            <w:tcW w:type="dxa" w:w="249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Python dentro de IntelliJ + venv local</w:t>
            </w:r>
          </w:p>
        </w:tc>
        <w:tc>
          <w:tcPr>
            <w:tcW w:type="dxa" w:w="2808"/>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r>
              <w:rPr>
                <w:rFonts w:ascii="Arial" w:cs="Arial" w:eastAsia="Arial" w:hAnsi="Arial"/>
                <w:b w:val="false"/>
                <w:bCs w:val="false"/>
                <w:sz w:val="20"/>
                <w:szCs w:val="20"/>
              </w:rPr>
              <w:t xml:space="preserve">Validado pero workaround</w:t>
            </w:r>
          </w:p>
        </w:tc>
        <w:tc>
          <w:tcPr>
            <w:tcW w:type="dxa" w:w="405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Funciona (probado), pero specify-cli queda atado al venv del proyecto; setup más complejo de explicar al equipo; deuda técnica si se escala</w:t>
            </w:r>
          </w:p>
        </w:tc>
      </w:tr>
      <w:tr>
        <w:tc>
          <w:tcPr>
            <w:tcW w:type="dxa" w:w="249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Instalación estándar de Python 3.12 + Spec Kit (esta propuesta)</w:t>
            </w:r>
          </w:p>
        </w:tc>
        <w:tc>
          <w:tcPr>
            <w:tcW w:type="dxa" w:w="2808"/>
            <w:tcBorders>
              <w:top w:val="single" w:color="BFBFBF" w:sz="4"/>
              <w:left w:val="single" w:color="BFBFBF" w:sz="4"/>
              <w:bottom w:val="single" w:color="BFBFBF" w:sz="4"/>
              <w:right w:val="single" w:color="BFBFBF" w:sz="4"/>
            </w:tcBorders>
            <w:shd w:fill="E2EFDA" w:color="auto" w:val="clear"/>
            <w:tcMar>
              <w:top w:type="dxa" w:w="100"/>
              <w:left w:type="dxa" w:w="140"/>
              <w:bottom w:type="dxa" w:w="100"/>
              <w:right w:type="dxa" w:w="140"/>
            </w:tcMar>
          </w:tcPr>
          <w:p>
            <w:r>
              <w:rPr>
                <w:rFonts w:ascii="Arial" w:cs="Arial" w:eastAsia="Arial" w:hAnsi="Arial"/>
                <w:b w:val="false"/>
                <w:bCs w:val="false"/>
                <w:sz w:val="20"/>
                <w:szCs w:val="20"/>
              </w:rPr>
              <w:t xml:space="preserve">Happy path</w:t>
            </w:r>
          </w:p>
        </w:tc>
        <w:tc>
          <w:tcPr>
            <w:tcW w:type="dxa" w:w="405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Soportado oficialmente por GitHub; documentación pública; mantenibilidad de largo plazo; alineado con documentación de Spec Kit</w:t>
            </w:r>
          </w:p>
        </w:tc>
      </w:tr>
    </w:tbl>
    <w:p>
      <w:pPr>
        <w:pStyle w:val="Heading1"/>
        <w:spacing w:after="180" w:before="360"/>
      </w:pPr>
      <w:r>
        <w:rPr>
          <w:rFonts w:ascii="Arial" w:cs="Arial" w:eastAsia="Arial" w:hAnsi="Arial"/>
          <w:b/>
          <w:bCs/>
          <w:color w:val="1F3864"/>
          <w:sz w:val="28"/>
          <w:szCs w:val="28"/>
        </w:rPr>
        <w:t xml:space="preserve">8. Plan de implementación</w:t>
      </w:r>
    </w:p>
    <w:p>
      <w:pPr>
        <w:pStyle w:val="ListParagraph"/>
        <w:numPr>
          <w:ilvl w:val="0"/>
          <w:numId w:val="3"/>
        </w:numPr>
        <w:spacing w:after="60" w:before="60"/>
      </w:pPr>
      <w:r>
        <w:rPr>
          <w:rFonts w:ascii="Arial" w:cs="Arial" w:eastAsia="Arial" w:hAnsi="Arial"/>
          <w:b/>
          <w:bCs/>
          <w:sz w:val="22"/>
          <w:szCs w:val="22"/>
        </w:rPr>
        <w:t xml:space="preserve">Semana 1: </w:t>
      </w:r>
      <w:r>
        <w:rPr>
          <w:rFonts w:ascii="Arial" w:cs="Arial" w:eastAsia="Arial" w:hAnsi="Arial"/>
          <w:sz w:val="22"/>
          <w:szCs w:val="22"/>
        </w:rPr>
        <w:t xml:space="preserve">Aprobación de la solicitud por líder técnico, manager e InfoSec.</w:t>
      </w:r>
    </w:p>
    <w:p>
      <w:pPr>
        <w:pStyle w:val="ListParagraph"/>
        <w:numPr>
          <w:ilvl w:val="0"/>
          <w:numId w:val="3"/>
        </w:numPr>
        <w:spacing w:after="60" w:before="60"/>
      </w:pPr>
      <w:r>
        <w:rPr>
          <w:rFonts w:ascii="Arial" w:cs="Arial" w:eastAsia="Arial" w:hAnsi="Arial"/>
          <w:b/>
          <w:bCs/>
          <w:sz w:val="22"/>
          <w:szCs w:val="22"/>
        </w:rPr>
        <w:t xml:space="preserve">Semana 1: </w:t>
      </w:r>
      <w:r>
        <w:rPr>
          <w:rFonts w:ascii="Arial" w:cs="Arial" w:eastAsia="Arial" w:hAnsi="Arial"/>
          <w:sz w:val="22"/>
          <w:szCs w:val="22"/>
        </w:rPr>
        <w:t xml:space="preserve">Apertura del ticket formal a TI con esta documentación adjunta.</w:t>
      </w:r>
    </w:p>
    <w:p>
      <w:pPr>
        <w:pStyle w:val="ListParagraph"/>
        <w:numPr>
          <w:ilvl w:val="0"/>
          <w:numId w:val="3"/>
        </w:numPr>
        <w:spacing w:after="60" w:before="60"/>
      </w:pPr>
      <w:r>
        <w:rPr>
          <w:rFonts w:ascii="Arial" w:cs="Arial" w:eastAsia="Arial" w:hAnsi="Arial"/>
          <w:b/>
          <w:bCs/>
          <w:sz w:val="22"/>
          <w:szCs w:val="22"/>
        </w:rPr>
        <w:t xml:space="preserve">Semana 2: </w:t>
      </w:r>
      <w:r>
        <w:rPr>
          <w:rFonts w:ascii="Arial" w:cs="Arial" w:eastAsia="Arial" w:hAnsi="Arial"/>
          <w:sz w:val="22"/>
          <w:szCs w:val="22"/>
        </w:rPr>
        <w:t xml:space="preserve">Instalación coordinada con TI en estación piloto (solicitante). Tiempo estimado de intervención: 30-45 minutos.</w:t>
      </w:r>
    </w:p>
    <w:p>
      <w:pPr>
        <w:pStyle w:val="ListParagraph"/>
        <w:numPr>
          <w:ilvl w:val="0"/>
          <w:numId w:val="3"/>
        </w:numPr>
        <w:spacing w:after="60" w:before="60"/>
      </w:pPr>
      <w:r>
        <w:rPr>
          <w:rFonts w:ascii="Arial" w:cs="Arial" w:eastAsia="Arial" w:hAnsi="Arial"/>
          <w:b/>
          <w:bCs/>
          <w:sz w:val="22"/>
          <w:szCs w:val="22"/>
        </w:rPr>
        <w:t xml:space="preserve">Semana 2: </w:t>
      </w:r>
      <w:r>
        <w:rPr>
          <w:rFonts w:ascii="Arial" w:cs="Arial" w:eastAsia="Arial" w:hAnsi="Arial"/>
          <w:sz w:val="22"/>
          <w:szCs w:val="22"/>
        </w:rPr>
        <w:t xml:space="preserve">Validación end-to-end: ejecución de specify check, primer flujo SDD sobre un caso de uso real del equipo (script o automatización).</w:t>
      </w:r>
    </w:p>
    <w:p>
      <w:pPr>
        <w:pStyle w:val="ListParagraph"/>
        <w:numPr>
          <w:ilvl w:val="0"/>
          <w:numId w:val="3"/>
        </w:numPr>
        <w:spacing w:after="60" w:before="60"/>
      </w:pPr>
      <w:r>
        <w:rPr>
          <w:rFonts w:ascii="Arial" w:cs="Arial" w:eastAsia="Arial" w:hAnsi="Arial"/>
          <w:b/>
          <w:bCs/>
          <w:sz w:val="22"/>
          <w:szCs w:val="22"/>
        </w:rPr>
        <w:t xml:space="preserve">Semanas 3-5: </w:t>
      </w:r>
      <w:r>
        <w:rPr>
          <w:rFonts w:ascii="Arial" w:cs="Arial" w:eastAsia="Arial" w:hAnsi="Arial"/>
          <w:sz w:val="22"/>
          <w:szCs w:val="22"/>
        </w:rPr>
        <w:t xml:space="preserve">Piloto sobre 2-3 entregables reales del equipo durante 2-3 semanas, midiendo tiempo de producción, claridad de documentación generada y feedback del solicitante.</w:t>
      </w:r>
    </w:p>
    <w:p>
      <w:pPr>
        <w:pStyle w:val="ListParagraph"/>
        <w:numPr>
          <w:ilvl w:val="0"/>
          <w:numId w:val="3"/>
        </w:numPr>
        <w:spacing w:after="60" w:before="60"/>
      </w:pPr>
      <w:r>
        <w:rPr>
          <w:rFonts w:ascii="Arial" w:cs="Arial" w:eastAsia="Arial" w:hAnsi="Arial"/>
          <w:b/>
          <w:bCs/>
          <w:sz w:val="22"/>
          <w:szCs w:val="22"/>
        </w:rPr>
        <w:t xml:space="preserve">Semana 6: </w:t>
      </w:r>
      <w:r>
        <w:rPr>
          <w:rFonts w:ascii="Arial" w:cs="Arial" w:eastAsia="Arial" w:hAnsi="Arial"/>
          <w:sz w:val="22"/>
          <w:szCs w:val="22"/>
        </w:rPr>
        <w:t xml:space="preserve">Compartir resultados con liderazgo. Si el piloto es exitoso, escalamiento al resto del equipo con el mismo procedimiento documentado.</w:t>
      </w:r>
    </w:p>
    <w:p>
      <w:pPr>
        <w:pStyle w:val="ListParagraph"/>
        <w:numPr>
          <w:ilvl w:val="0"/>
          <w:numId w:val="3"/>
        </w:numPr>
        <w:spacing w:after="60" w:before="60"/>
      </w:pPr>
      <w:r>
        <w:rPr>
          <w:rFonts w:ascii="Arial" w:cs="Arial" w:eastAsia="Arial" w:hAnsi="Arial"/>
          <w:b/>
          <w:bCs/>
          <w:sz w:val="22"/>
          <w:szCs w:val="22"/>
        </w:rPr>
        <w:t xml:space="preserve">Semanas 7+: </w:t>
      </w:r>
      <w:r>
        <w:rPr>
          <w:rFonts w:ascii="Arial" w:cs="Arial" w:eastAsia="Arial" w:hAnsi="Arial"/>
          <w:sz w:val="22"/>
          <w:szCs w:val="22"/>
        </w:rPr>
        <w:t xml:space="preserve">Adopción gradual del resto del equipo en olas de 2-3 personas por semana, manteniendo el procedimiento estable.</w:t>
      </w:r>
    </w:p>
    <w:p>
      <w:pPr>
        <w:pStyle w:val="Heading1"/>
        <w:spacing w:after="180" w:before="360"/>
      </w:pPr>
      <w:r>
        <w:rPr>
          <w:rFonts w:ascii="Arial" w:cs="Arial" w:eastAsia="Arial" w:hAnsi="Arial"/>
          <w:b/>
          <w:bCs/>
          <w:color w:val="1F3864"/>
          <w:sz w:val="28"/>
          <w:szCs w:val="28"/>
        </w:rPr>
        <w:t xml:space="preserve">9. Métricas de éxito del piloto</w:t>
      </w:r>
    </w:p>
    <w:p>
      <w:pPr>
        <w:spacing w:after="80" w:before="80"/>
        <w:jc w:val="both"/>
      </w:pPr>
      <w:r>
        <w:rPr>
          <w:rFonts w:ascii="Arial" w:cs="Arial" w:eastAsia="Arial" w:hAnsi="Arial"/>
          <w:b w:val="false"/>
          <w:bCs w:val="false"/>
          <w:i w:val="false"/>
          <w:iCs w:val="false"/>
          <w:color w:val="000000"/>
          <w:sz w:val="22"/>
          <w:szCs w:val="22"/>
        </w:rPr>
        <w:t xml:space="preserve">Se medirán las siguientes métricas durante las semanas 3 a 5, comparando contra baseline equivalente de las semanas anteriores:</w:t>
      </w:r>
    </w:p>
    <w:p>
      <w:pPr>
        <w:pStyle w:val="ListParagraph"/>
        <w:numPr>
          <w:ilvl w:val="0"/>
          <w:numId w:val="2"/>
        </w:numPr>
        <w:spacing w:after="40" w:before="40"/>
      </w:pPr>
      <w:r>
        <w:rPr>
          <w:rFonts w:ascii="Arial" w:cs="Arial" w:eastAsia="Arial" w:hAnsi="Arial"/>
          <w:b/>
          <w:bCs/>
          <w:sz w:val="22"/>
          <w:szCs w:val="22"/>
        </w:rPr>
        <w:t xml:space="preserve">Tiempo de producción de artefactos: </w:t>
      </w:r>
      <w:r>
        <w:rPr>
          <w:rFonts w:ascii="Arial" w:cs="Arial" w:eastAsia="Arial" w:hAnsi="Arial"/>
          <w:sz w:val="22"/>
          <w:szCs w:val="22"/>
        </w:rPr>
        <w:t xml:space="preserve">tiempo desde requerimiento recibido hasta entregable listo para revisión.</w:t>
      </w:r>
    </w:p>
    <w:p>
      <w:pPr>
        <w:pStyle w:val="ListParagraph"/>
        <w:numPr>
          <w:ilvl w:val="0"/>
          <w:numId w:val="2"/>
        </w:numPr>
        <w:spacing w:after="40" w:before="40"/>
      </w:pPr>
      <w:r>
        <w:rPr>
          <w:rFonts w:ascii="Arial" w:cs="Arial" w:eastAsia="Arial" w:hAnsi="Arial"/>
          <w:b/>
          <w:bCs/>
          <w:sz w:val="22"/>
          <w:szCs w:val="22"/>
        </w:rPr>
        <w:t xml:space="preserve">Calidad de la documentación generada: </w:t>
      </w:r>
      <w:r>
        <w:rPr>
          <w:rFonts w:ascii="Arial" w:cs="Arial" w:eastAsia="Arial" w:hAnsi="Arial"/>
          <w:sz w:val="22"/>
          <w:szCs w:val="22"/>
        </w:rPr>
        <w:t xml:space="preserve">completitud de la especificación contra checklist interno del equipo.</w:t>
      </w:r>
    </w:p>
    <w:p>
      <w:pPr>
        <w:pStyle w:val="ListParagraph"/>
        <w:numPr>
          <w:ilvl w:val="0"/>
          <w:numId w:val="2"/>
        </w:numPr>
        <w:spacing w:after="40" w:before="40"/>
      </w:pPr>
      <w:r>
        <w:rPr>
          <w:rFonts w:ascii="Arial" w:cs="Arial" w:eastAsia="Arial" w:hAnsi="Arial"/>
          <w:b/>
          <w:bCs/>
          <w:sz w:val="22"/>
          <w:szCs w:val="22"/>
        </w:rPr>
        <w:t xml:space="preserve">Rework rate: </w:t>
      </w:r>
      <w:r>
        <w:rPr>
          <w:rFonts w:ascii="Arial" w:cs="Arial" w:eastAsia="Arial" w:hAnsi="Arial"/>
          <w:sz w:val="22"/>
          <w:szCs w:val="22"/>
        </w:rPr>
        <w:t xml:space="preserve">porcentaje de entregables que requieren ajustes mayores tras revisión.</w:t>
      </w:r>
    </w:p>
    <w:p>
      <w:pPr>
        <w:pStyle w:val="ListParagraph"/>
        <w:numPr>
          <w:ilvl w:val="0"/>
          <w:numId w:val="2"/>
        </w:numPr>
        <w:spacing w:after="40" w:before="40"/>
      </w:pPr>
      <w:r>
        <w:rPr>
          <w:rFonts w:ascii="Arial" w:cs="Arial" w:eastAsia="Arial" w:hAnsi="Arial"/>
          <w:b/>
          <w:bCs/>
          <w:sz w:val="22"/>
          <w:szCs w:val="22"/>
        </w:rPr>
        <w:t xml:space="preserve">Satisfacción del desarrollador: </w:t>
      </w:r>
      <w:r>
        <w:rPr>
          <w:rFonts w:ascii="Arial" w:cs="Arial" w:eastAsia="Arial" w:hAnsi="Arial"/>
          <w:sz w:val="22"/>
          <w:szCs w:val="22"/>
        </w:rPr>
        <w:t xml:space="preserve">evaluación corta al final del piloto sobre fricciones y beneficios percibidos.</w:t>
      </w:r>
    </w:p>
    <w:p>
      <w:pPr>
        <w:pStyle w:val="ListParagraph"/>
        <w:numPr>
          <w:ilvl w:val="0"/>
          <w:numId w:val="2"/>
        </w:numPr>
        <w:spacing w:after="40" w:before="40"/>
      </w:pPr>
      <w:r>
        <w:rPr>
          <w:rFonts w:ascii="Arial" w:cs="Arial" w:eastAsia="Arial" w:hAnsi="Arial"/>
          <w:b/>
          <w:bCs/>
          <w:sz w:val="22"/>
          <w:szCs w:val="22"/>
        </w:rPr>
        <w:t xml:space="preserve">Reproducibilidad: </w:t>
      </w:r>
      <w:r>
        <w:rPr>
          <w:rFonts w:ascii="Arial" w:cs="Arial" w:eastAsia="Arial" w:hAnsi="Arial"/>
          <w:sz w:val="22"/>
          <w:szCs w:val="22"/>
        </w:rPr>
        <w:t xml:space="preserve">tiempo requerido para que un segundo desarrollador del equipo adopte el flujo, como proxy del costo de escalamiento.</w:t>
      </w:r>
    </w:p>
    <w:p>
      <w:pPr>
        <w:pStyle w:val="Heading1"/>
        <w:spacing w:after="180" w:before="360"/>
      </w:pPr>
      <w:r>
        <w:rPr>
          <w:rFonts w:ascii="Arial" w:cs="Arial" w:eastAsia="Arial" w:hAnsi="Arial"/>
          <w:b/>
          <w:bCs/>
          <w:color w:val="1F3864"/>
          <w:sz w:val="28"/>
          <w:szCs w:val="28"/>
        </w:rPr>
        <w:t xml:space="preserve">10. Referencias</w:t>
      </w:r>
    </w:p>
    <w:p>
      <w:pPr>
        <w:pStyle w:val="ListParagraph"/>
        <w:numPr>
          <w:ilvl w:val="0"/>
          <w:numId w:val="2"/>
        </w:numPr>
        <w:spacing w:after="40" w:before="40"/>
      </w:pPr>
      <w:r>
        <w:rPr>
          <w:rFonts w:ascii="Arial" w:cs="Arial" w:eastAsia="Arial" w:hAnsi="Arial"/>
          <w:sz w:val="22"/>
          <w:szCs w:val="22"/>
        </w:rPr>
        <w:t xml:space="preserve">GitHub Spec Kit — repositorio oficial: https://github.com/github/spec-kit</w:t>
      </w:r>
    </w:p>
    <w:p>
      <w:pPr>
        <w:pStyle w:val="ListParagraph"/>
        <w:numPr>
          <w:ilvl w:val="0"/>
          <w:numId w:val="2"/>
        </w:numPr>
        <w:spacing w:after="40" w:before="40"/>
      </w:pPr>
      <w:r>
        <w:rPr>
          <w:rFonts w:ascii="Arial" w:cs="Arial" w:eastAsia="Arial" w:hAnsi="Arial"/>
          <w:sz w:val="22"/>
          <w:szCs w:val="22"/>
        </w:rPr>
        <w:t xml:space="preserve">Microsoft Learn — Spec-Driven Development for enterprise developers: https://learn.microsoft.com/en-us/training/modules/spec-driven-development-github-spec-kit-enterprise-developers/</w:t>
      </w:r>
    </w:p>
    <w:p>
      <w:pPr>
        <w:pStyle w:val="ListParagraph"/>
        <w:numPr>
          <w:ilvl w:val="0"/>
          <w:numId w:val="2"/>
        </w:numPr>
        <w:spacing w:after="40" w:before="40"/>
      </w:pPr>
      <w:r>
        <w:rPr>
          <w:rFonts w:ascii="Arial" w:cs="Arial" w:eastAsia="Arial" w:hAnsi="Arial"/>
          <w:sz w:val="22"/>
          <w:szCs w:val="22"/>
        </w:rPr>
        <w:t xml:space="preserve">GitHub Blog — Spec-driven development with AI: https://github.blog/ai-and-ml/generative-ai/spec-driven-development-with-ai-get-started-with-a-new-open-source-toolkit/</w:t>
      </w:r>
    </w:p>
    <w:p>
      <w:pPr>
        <w:pStyle w:val="ListParagraph"/>
        <w:numPr>
          <w:ilvl w:val="0"/>
          <w:numId w:val="2"/>
        </w:numPr>
        <w:spacing w:after="40" w:before="40"/>
      </w:pPr>
      <w:r>
        <w:rPr>
          <w:rFonts w:ascii="Arial" w:cs="Arial" w:eastAsia="Arial" w:hAnsi="Arial"/>
          <w:sz w:val="22"/>
          <w:szCs w:val="22"/>
        </w:rPr>
        <w:t xml:space="preserve">Python Software Foundation — descargas oficiales: https://www.python.org/downloads/</w:t>
      </w:r>
    </w:p>
    <w:p>
      <w:pPr>
        <w:pStyle w:val="ListParagraph"/>
        <w:numPr>
          <w:ilvl w:val="0"/>
          <w:numId w:val="2"/>
        </w:numPr>
        <w:spacing w:after="40" w:before="40"/>
      </w:pPr>
      <w:r>
        <w:rPr>
          <w:rFonts w:ascii="Arial" w:cs="Arial" w:eastAsia="Arial" w:hAnsi="Arial"/>
          <w:sz w:val="22"/>
          <w:szCs w:val="22"/>
        </w:rPr>
        <w:t xml:space="preserve">pipx — instalación y uso de CLIs Python aisladas: https://pipx.pypa.io/</w:t>
      </w:r>
    </w:p>
    <w:p>
      <w:pPr>
        <w:pStyle w:val="Heading1"/>
        <w:spacing w:after="180" w:before="360"/>
      </w:pPr>
      <w:r>
        <w:rPr>
          <w:rFonts w:ascii="Arial" w:cs="Arial" w:eastAsia="Arial" w:hAnsi="Arial"/>
          <w:b/>
          <w:bCs/>
          <w:color w:val="1F3864"/>
          <w:sz w:val="28"/>
          <w:szCs w:val="28"/>
        </w:rPr>
        <w:t xml:space="preserve">11. Aprobaciones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Rol</w:t>
            </w:r>
          </w:p>
        </w:tc>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Nombre</w:t>
            </w:r>
          </w:p>
        </w:tc>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Firma</w:t>
            </w:r>
          </w:p>
        </w:tc>
        <w:tc>
          <w:tcPr>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rFonts w:ascii="Arial" w:cs="Arial" w:eastAsia="Arial" w:hAnsi="Arial"/>
                <w:b/>
                <w:bCs/>
                <w:color w:val="FFFFFF"/>
                <w:sz w:val="22"/>
                <w:szCs w:val="22"/>
              </w:rPr>
              <w:t xml:space="preserve">Fecha</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Solicitante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Alvaro Núñez</w:t>
            </w:r>
          </w:p>
        </w:tc>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 </w:t>
            </w:r>
          </w:p>
        </w:tc>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 </w:t>
            </w:r>
          </w:p>
        </w:tc>
      </w:tr>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Líder técnico</w:t>
            </w:r>
          </w:p>
        </w:tc>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 </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 </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 </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Manager de área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 </w:t>
            </w:r>
          </w:p>
        </w:tc>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 </w:t>
            </w:r>
          </w:p>
        </w:tc>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 </w:t>
            </w:r>
          </w:p>
        </w:tc>
      </w:tr>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Information Security</w:t>
            </w:r>
          </w:p>
        </w:tc>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 </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 </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 </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IT Operations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sz w:val="20"/>
                <w:szCs w:val="20"/>
              </w:rPr>
              <w:t xml:space="preserve"> </w:t>
            </w:r>
          </w:p>
        </w:tc>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 </w:t>
            </w:r>
          </w:p>
        </w:tc>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rFonts w:ascii="Arial" w:cs="Arial" w:eastAsia="Arial" w:hAnsi="Arial"/>
                <w:b w:val="false"/>
                <w:bCs w:val="false"/>
                <w:sz w:val="20"/>
                <w:szCs w:val="20"/>
              </w:rPr>
              <w:t xml:space="preserve"> </w:t>
            </w:r>
          </w:p>
        </w:tc>
      </w:tr>
    </w:tbl>
    <w:p>
      <w:pPr>
        <w:spacing w:before="480"/>
        <w:jc w:val="center"/>
      </w:pPr>
      <w:r>
        <w:rPr>
          <w:rFonts w:ascii="Arial" w:cs="Arial" w:eastAsia="Arial" w:hAnsi="Arial"/>
          <w:i/>
          <w:iCs/>
          <w:color w:val="808080"/>
          <w:sz w:val="18"/>
          <w:szCs w:val="18"/>
        </w:rPr>
        <w:t xml:space="preserve">— Fin del documento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Uso interno · 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Arial" w:cs="Arial" w:eastAsia="Arial" w:hAnsi="Arial"/>
        <w:i/>
        <w:iCs/>
        <w:color w:val="595959"/>
        <w:sz w:val="18"/>
        <w:szCs w:val="18"/>
      </w:rPr>
      <w:t xml:space="preserve">CCA Credit Card Support — Habilitación de SDD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habilitación de toolchain Python + Spec Kit para CCA Credit Card Support</dc:title>
  <dc:creator>Alvaro Núñez</dc:creator>
  <cp:lastModifiedBy>Un-named</cp:lastModifiedBy>
  <cp:revision>1</cp:revision>
  <dcterms:created xsi:type="dcterms:W3CDTF">2026-05-19T17:03:33.666Z</dcterms:created>
  <dcterms:modified xsi:type="dcterms:W3CDTF">2026-05-19T17:03:33.684Z</dcterms:modified>
</cp:coreProperties>
</file>

<file path=docProps/custom.xml><?xml version="1.0" encoding="utf-8"?>
<Properties xmlns="http://schemas.openxmlformats.org/officeDocument/2006/custom-properties" xmlns:vt="http://schemas.openxmlformats.org/officeDocument/2006/docPropsVTypes"/>
</file>