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A57" w:rsidRPr="006D1A57" w:rsidRDefault="006D1A57" w:rsidP="006D1A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1A57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6D1A57" w:rsidRPr="006D1A57" w:rsidRDefault="006D1A57" w:rsidP="006D1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6D1A57" w:rsidRPr="006D1A57" w:rsidRDefault="006D1A57" w:rsidP="006D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D1A57">
        <w:rPr>
          <w:rFonts w:ascii="Times New Roman" w:eastAsia="Times New Roman" w:hAnsi="Times New Roman" w:cs="Times New Roman"/>
          <w:sz w:val="24"/>
          <w:szCs w:val="24"/>
        </w:rPr>
        <w:br/>
        <w:t>Telecom companies need to strategically expand their networks to meet growing demand, especially in underserved or high-growth areas. Traditional methods rely on static data and lack predictive capabilities, resulting in inefficient resource allocation. An AI-driven predictive network expansion solution can identify optimal locations and prioritize investments based on data-driven insights.</w:t>
      </w:r>
    </w:p>
    <w:p w:rsidR="006D1A57" w:rsidRPr="006D1A57" w:rsidRDefault="006D1A57" w:rsidP="006D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1A57" w:rsidRPr="006D1A57" w:rsidRDefault="006D1A57" w:rsidP="006D1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6D1A57" w:rsidRPr="006D1A57" w:rsidRDefault="006D1A57" w:rsidP="006D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D1A57">
        <w:rPr>
          <w:rFonts w:ascii="Times New Roman" w:eastAsia="Times New Roman" w:hAnsi="Times New Roman" w:cs="Times New Roman"/>
          <w:sz w:val="24"/>
          <w:szCs w:val="24"/>
        </w:rPr>
        <w:br/>
        <w:t>The target outcomes include predictions of high-demand areas, infrastructure requirements, and potential customer acquisition rates. Clustering can group regions based on population density, current connectivity, and growth potential.</w:t>
      </w:r>
    </w:p>
    <w:p w:rsidR="006D1A57" w:rsidRPr="006D1A57" w:rsidRDefault="006D1A57" w:rsidP="006D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1A57" w:rsidRPr="006D1A57" w:rsidRDefault="006D1A57" w:rsidP="006D1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6D1A57" w:rsidRPr="006D1A57" w:rsidRDefault="006D1A57" w:rsidP="006D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6D1A57" w:rsidRPr="006D1A57" w:rsidRDefault="006D1A57" w:rsidP="006D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Population density and growth trends</w:t>
      </w:r>
    </w:p>
    <w:p w:rsidR="006D1A57" w:rsidRPr="006D1A57" w:rsidRDefault="006D1A57" w:rsidP="006D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Current network coverage and performance metrics</w:t>
      </w:r>
    </w:p>
    <w:p w:rsidR="006D1A57" w:rsidRPr="006D1A57" w:rsidRDefault="006D1A57" w:rsidP="006D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Customer usage patterns and demand forecasts</w:t>
      </w:r>
    </w:p>
    <w:p w:rsidR="006D1A57" w:rsidRPr="006D1A57" w:rsidRDefault="006D1A57" w:rsidP="006D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Competitor network coverage</w:t>
      </w:r>
    </w:p>
    <w:p w:rsidR="006D1A57" w:rsidRPr="006D1A57" w:rsidRDefault="006D1A57" w:rsidP="006D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Economic and regional development data</w:t>
      </w:r>
    </w:p>
    <w:p w:rsidR="006D1A57" w:rsidRPr="006D1A57" w:rsidRDefault="006D1A57" w:rsidP="006D1A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Regulatory constraints and opportunities</w:t>
      </w:r>
    </w:p>
    <w:p w:rsidR="006D1A57" w:rsidRPr="006D1A57" w:rsidRDefault="006D1A57" w:rsidP="006D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1A57" w:rsidRPr="006D1A57" w:rsidRDefault="006D1A57" w:rsidP="006D1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6D1A57" w:rsidRPr="006D1A57" w:rsidRDefault="006D1A57" w:rsidP="006D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6D1A57" w:rsidRPr="006D1A57" w:rsidRDefault="006D1A57" w:rsidP="006D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1A57" w:rsidRPr="006D1A57" w:rsidRDefault="006D1A57" w:rsidP="006D1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6D1A57" w:rsidRPr="006D1A57" w:rsidRDefault="006D1A57" w:rsidP="006D1A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6D1A57" w:rsidRPr="006D1A57" w:rsidRDefault="006D1A57" w:rsidP="006D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To predict demand growth and identify high-priority areas.</w:t>
      </w:r>
    </w:p>
    <w:p w:rsidR="006D1A57" w:rsidRPr="006D1A57" w:rsidRDefault="006D1A57" w:rsidP="006D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Geospatial Analytics: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For mapping potential expansion zones.</w:t>
      </w:r>
    </w:p>
    <w:p w:rsidR="006D1A57" w:rsidRPr="006D1A57" w:rsidRDefault="006D1A57" w:rsidP="006D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Optimization Algorithms: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To allocate resources efficiently.</w:t>
      </w:r>
    </w:p>
    <w:p w:rsidR="006D1A57" w:rsidRPr="006D1A57" w:rsidRDefault="006D1A57" w:rsidP="006D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Integration Platforms: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For combining diverse datasets, including customer, network, and external data.</w:t>
      </w:r>
    </w:p>
    <w:p w:rsidR="006D1A57" w:rsidRPr="006D1A57" w:rsidRDefault="006D1A57" w:rsidP="006D1A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Visualization Tools: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For presenting actionable insights to stakeholders.</w:t>
      </w:r>
    </w:p>
    <w:p w:rsidR="006D1A57" w:rsidRPr="006D1A57" w:rsidRDefault="006D1A57" w:rsidP="006D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1A57" w:rsidRPr="006D1A57" w:rsidRDefault="006D1A57" w:rsidP="006D1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6D1A57" w:rsidRPr="006D1A57" w:rsidRDefault="006D1A57" w:rsidP="006D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Efficient use of resources by targeting high-demand areas.</w:t>
      </w:r>
    </w:p>
    <w:p w:rsidR="006D1A57" w:rsidRPr="006D1A57" w:rsidRDefault="006D1A57" w:rsidP="006D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Faster network expansion with data-backed decisions.</w:t>
      </w:r>
    </w:p>
    <w:p w:rsidR="006D1A57" w:rsidRPr="006D1A57" w:rsidRDefault="006D1A57" w:rsidP="006D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Increased customer satisfaction through improved connectivity.</w:t>
      </w:r>
    </w:p>
    <w:p w:rsidR="006D1A57" w:rsidRPr="006D1A57" w:rsidRDefault="006D1A57" w:rsidP="006D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Competitive advantage by staying ahead in underserved markets.</w:t>
      </w:r>
    </w:p>
    <w:p w:rsidR="006D1A57" w:rsidRPr="006D1A57" w:rsidRDefault="006D1A57" w:rsidP="006D1A5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Reduced costs associated with trial-and-error expansion approaches.</w:t>
      </w:r>
    </w:p>
    <w:p w:rsidR="006D1A57" w:rsidRPr="006D1A57" w:rsidRDefault="006D1A57" w:rsidP="006D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1A57" w:rsidRPr="006D1A57" w:rsidRDefault="006D1A57" w:rsidP="006D1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6D1A57" w:rsidRPr="006D1A57" w:rsidRDefault="006D1A57" w:rsidP="006D1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Optimized Deployment: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Targeted investments in areas with high ROI potential.</w:t>
      </w:r>
    </w:p>
    <w:p w:rsidR="006D1A57" w:rsidRPr="006D1A57" w:rsidRDefault="006D1A57" w:rsidP="006D1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Connectivity: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Better service availability for underserved regions.</w:t>
      </w:r>
    </w:p>
    <w:p w:rsidR="006D1A57" w:rsidRPr="006D1A57" w:rsidRDefault="006D1A57" w:rsidP="006D1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Cost Savings: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Reduced inefficiencies in resource allocation.</w:t>
      </w:r>
    </w:p>
    <w:p w:rsidR="006D1A57" w:rsidRPr="006D1A57" w:rsidRDefault="006D1A57" w:rsidP="006D1A5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Market Growth:</w:t>
      </w:r>
      <w:r w:rsidRPr="006D1A57">
        <w:rPr>
          <w:rFonts w:ascii="Times New Roman" w:eastAsia="Times New Roman" w:hAnsi="Times New Roman" w:cs="Times New Roman"/>
          <w:sz w:val="24"/>
          <w:szCs w:val="24"/>
        </w:rPr>
        <w:t xml:space="preserve"> Higher customer acquisition in newly expanded areas.</w:t>
      </w:r>
    </w:p>
    <w:p w:rsidR="006D1A57" w:rsidRPr="006D1A57" w:rsidRDefault="006D1A57" w:rsidP="006D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1A57" w:rsidRPr="006D1A57" w:rsidRDefault="006D1A57" w:rsidP="006D1A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6D1A57" w:rsidRPr="006D1A57" w:rsidRDefault="006D1A57" w:rsidP="006D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Data accuracy and availability for reliable predictions.</w:t>
      </w:r>
    </w:p>
    <w:p w:rsidR="006D1A57" w:rsidRPr="006D1A57" w:rsidRDefault="006D1A57" w:rsidP="006D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Regulatory and environmental constraints affecting deployment.</w:t>
      </w:r>
    </w:p>
    <w:p w:rsidR="006D1A57" w:rsidRPr="006D1A57" w:rsidRDefault="006D1A57" w:rsidP="006D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High initial costs for AI tools and data integration.</w:t>
      </w:r>
    </w:p>
    <w:p w:rsidR="006D1A57" w:rsidRPr="006D1A57" w:rsidRDefault="006D1A57" w:rsidP="006D1A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t>Potential resistance from stakeholders to adopt new methodologies.</w:t>
      </w:r>
    </w:p>
    <w:p w:rsidR="006D1A57" w:rsidRPr="006D1A57" w:rsidRDefault="006D1A57" w:rsidP="006D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1A5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748"/>
    <w:multiLevelType w:val="multilevel"/>
    <w:tmpl w:val="445A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E66C9A"/>
    <w:multiLevelType w:val="multilevel"/>
    <w:tmpl w:val="5F10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817E2C"/>
    <w:multiLevelType w:val="multilevel"/>
    <w:tmpl w:val="894A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1C4690"/>
    <w:multiLevelType w:val="multilevel"/>
    <w:tmpl w:val="950E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423692"/>
    <w:multiLevelType w:val="multilevel"/>
    <w:tmpl w:val="554C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1A4B"/>
    <w:rsid w:val="006D1A57"/>
    <w:rsid w:val="00DC1A4B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6D1A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D1A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1A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D1A5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D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1A5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5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2</cp:revision>
  <dcterms:created xsi:type="dcterms:W3CDTF">2025-01-18T11:11:00Z</dcterms:created>
  <dcterms:modified xsi:type="dcterms:W3CDTF">2025-01-18T11:13:00Z</dcterms:modified>
</cp:coreProperties>
</file>