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4F" w:rsidRPr="00E75AFD" w:rsidRDefault="00E75AFD">
      <w:pPr>
        <w:pStyle w:val="Date"/>
        <w:rPr>
          <w:lang w:val="pt-PT"/>
        </w:rPr>
      </w:pPr>
      <w:r w:rsidRPr="00E75AFD">
        <w:rPr>
          <w:lang w:val="pt-PT"/>
        </w:rPr>
        <w:t>2019-05-27, Fábio Silva</w:t>
      </w:r>
      <w:r>
        <w:rPr>
          <w:lang w:val="pt-PT"/>
        </w:rPr>
        <w:t xml:space="preserve"> e Nuno Bernardes, Laboratório de Programação</w:t>
      </w:r>
    </w:p>
    <w:p w:rsidR="00F32C4F" w:rsidRPr="00E75AFD" w:rsidRDefault="00E75AFD">
      <w:pPr>
        <w:pStyle w:val="Title"/>
        <w:rPr>
          <w:lang w:val="pt-PT"/>
        </w:rPr>
      </w:pPr>
      <w:r>
        <w:rPr>
          <w:lang w:val="pt-PT"/>
        </w:rPr>
        <w:t>Relatório 2º trabalho</w:t>
      </w:r>
    </w:p>
    <w:p w:rsidR="00F32C4F" w:rsidRDefault="00E75AFD">
      <w:pPr>
        <w:pStyle w:val="Heading1"/>
      </w:pPr>
      <w:r>
        <w:t>Introdução</w:t>
      </w:r>
    </w:p>
    <w:p w:rsidR="00F32C4F" w:rsidRPr="00E75AFD" w:rsidRDefault="00E75AFD" w:rsidP="00E75AFD">
      <w:pPr>
        <w:rPr>
          <w:lang w:val="pt-PT"/>
        </w:rPr>
      </w:pPr>
      <w:r w:rsidRPr="00E75AFD">
        <w:rPr>
          <w:lang w:val="pt-PT"/>
        </w:rPr>
        <w:t>Neste trabalho foi</w:t>
      </w:r>
      <w:r>
        <w:rPr>
          <w:lang w:val="pt-PT"/>
        </w:rPr>
        <w:t xml:space="preserve"> pedido para implementar um simulador de caixas de um supermercado tendo em conta quatro variáveis, afluência, apetência, número de caixas disponíveis e a quantidade de ciclos para resolver o processo. Tendo estes quatro fatores preenchidos o simulador resolve um modelo ideal de gestão dos clientes desse supermercado pelas caixas existentes e devolve o resultado da simulação.</w:t>
      </w:r>
    </w:p>
    <w:p w:rsidR="00E75AFD" w:rsidRPr="003F4871" w:rsidRDefault="00E75AFD" w:rsidP="00E75AFD">
      <w:pPr>
        <w:pStyle w:val="Heading1"/>
        <w:rPr>
          <w:lang w:val="pt-PT"/>
        </w:rPr>
      </w:pPr>
      <w:r w:rsidRPr="003F4871">
        <w:rPr>
          <w:lang w:val="pt-PT"/>
        </w:rPr>
        <w:t>Estrutura do programA</w:t>
      </w:r>
      <w:r w:rsidR="003F4871" w:rsidRPr="003F4871">
        <w:rPr>
          <w:lang w:val="pt-PT"/>
        </w:rPr>
        <w:t xml:space="preserve"> E co</w:t>
      </w:r>
      <w:r w:rsidR="003F4871">
        <w:rPr>
          <w:lang w:val="pt-PT"/>
        </w:rPr>
        <w:t xml:space="preserve">mo </w:t>
      </w:r>
      <w:r w:rsidR="00B86C6E">
        <w:rPr>
          <w:lang w:val="pt-PT"/>
        </w:rPr>
        <w:t>foi abordado a implementação para as extensões fornecidas</w:t>
      </w:r>
    </w:p>
    <w:p w:rsidR="00B86C6E" w:rsidRDefault="00E75AFD" w:rsidP="00B86C6E">
      <w:pPr>
        <w:pStyle w:val="Heading2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 w:rsidRP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O programa está dividido em dois diretórios, “Simulador com filas de prioridade” e “Simulador sem filas de prioridade”. Ambos os diretórios partilham os mesmos ficheiros à exceção </w:t>
      </w:r>
      <w:r w:rsidR="003F4871" w:rsidRP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que o “Simulador com filas de prioridade” </w:t>
      </w:r>
      <w:r w:rsid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tem </w:t>
      </w:r>
      <w:r w:rsidR="003F4871" w:rsidRP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dois ficheiros extra (</w:t>
      </w:r>
      <w:r w:rsid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“</w:t>
      </w:r>
      <w:r w:rsidR="003F4871" w:rsidRP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QueueP.c</w:t>
      </w:r>
      <w:r w:rsid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”</w:t>
      </w:r>
      <w:r w:rsidR="003F4871" w:rsidRP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 xml:space="preserve"> </w:t>
      </w:r>
      <w:r w:rsidR="003F4871" w:rsidRP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e </w:t>
      </w:r>
      <w:r w:rsid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“</w:t>
      </w:r>
      <w:r w:rsidR="003F4871" w:rsidRP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QueueP.h</w:t>
      </w:r>
      <w:r w:rsid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”</w:t>
      </w:r>
      <w:r w:rsidR="003F4871" w:rsidRP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)</w:t>
      </w:r>
      <w:r w:rsid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que fornece as funções extra para que a fila seja guardada numa ordem específica). Foi fornecido um ficheiro escrito na linguagem </w:t>
      </w:r>
      <w:r w:rsid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Python</w:t>
      </w:r>
      <w:r w:rsid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com a implementação necessária para o problema enunciado, então traduzimos o programa para </w:t>
      </w:r>
      <w:r w:rsidR="003F4871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C</w:t>
      </w:r>
      <w:r w:rsidR="003F4871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e dividimos o código em quatro grupos</w:t>
      </w:r>
      <w:r w:rsidR="00B86C6E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, Cliente, Caixa, Queue e Simulador.</w:t>
      </w:r>
      <w:r w:rsidR="00C474E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Também está presente em ambos os diretórios um ficheiro Makefile para facilidade na compilação  dos restantes ficheiros.</w:t>
      </w:r>
    </w:p>
    <w:p w:rsidR="00B86C6E" w:rsidRPr="00B86C6E" w:rsidRDefault="00B86C6E" w:rsidP="00B86C6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lang w:val="pt-PT"/>
        </w:rPr>
        <w:t>Cliente</w:t>
      </w:r>
    </w:p>
    <w:p w:rsidR="00B86C6E" w:rsidRPr="00B86C6E" w:rsidRDefault="00B86C6E" w:rsidP="00B86C6E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 w:rsidRPr="00B86C6E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Incluí os ficheiros “</w:t>
      </w:r>
      <w:r w:rsidRPr="00B86C6E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Cliente.c</w:t>
      </w:r>
      <w:r w:rsidRPr="00B86C6E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 e “</w:t>
      </w:r>
      <w:r w:rsidRPr="00B86C6E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Cliente.h</w:t>
      </w:r>
      <w:r w:rsidRPr="00B86C6E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”. Informação do número de produtos e tempo de entrada de um determinado cliente. </w:t>
      </w:r>
      <w:r w:rsidRPr="00B86C6E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Getters</w:t>
      </w:r>
      <w:r w:rsidRPr="00B86C6E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para retorno das informações.</w:t>
      </w:r>
    </w:p>
    <w:p w:rsidR="00B86C6E" w:rsidRPr="00C474ED" w:rsidRDefault="00B86C6E" w:rsidP="00B86C6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lang w:val="pt-PT"/>
        </w:rPr>
        <w:t>Caixa</w:t>
      </w:r>
    </w:p>
    <w:p w:rsidR="00A93D65" w:rsidRDefault="00C474ED" w:rsidP="00C474ED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 w:rsidRPr="00C474E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Incluí os ficheiros “</w:t>
      </w:r>
      <w:r w:rsidRPr="00C474E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Caixa.c</w:t>
      </w:r>
      <w:r w:rsidRPr="00C474E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 e “</w:t>
      </w:r>
      <w:r w:rsidRPr="00C474E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Caixa.h</w:t>
      </w:r>
      <w:r w:rsidRPr="00C474E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”. Informação da fila (com prioridade para simulação com fila de prioridade), tempo estimado de atendimento, número de clientes, produtos, tempo de espera,  número da caixa e velocidade de atendimento. </w:t>
      </w:r>
      <w:r w:rsidRPr="00C474E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Getters</w:t>
      </w:r>
      <w:r w:rsidRPr="00C474E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para retorno das informações acima descritas e </w:t>
      </w:r>
      <w:r w:rsidRPr="00C474E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Setters</w:t>
      </w:r>
      <w:r w:rsidRPr="00C474E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para atualização dos valores.</w:t>
      </w:r>
    </w:p>
    <w:p w:rsidR="00A93D65" w:rsidRDefault="00A93D65" w:rsidP="00A93D65">
      <w:pPr>
        <w:pStyle w:val="Title"/>
        <w:rPr>
          <w:lang w:val="pt-PT"/>
        </w:rPr>
      </w:pPr>
      <w:r>
        <w:rPr>
          <w:rFonts w:eastAsiaTheme="minorHAnsi"/>
          <w:lang w:val="pt-PT"/>
        </w:rPr>
        <w:br w:type="page"/>
      </w:r>
    </w:p>
    <w:p w:rsidR="00C474ED" w:rsidRPr="00B86C6E" w:rsidRDefault="00C474ED" w:rsidP="00C474ED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</w:p>
    <w:p w:rsidR="00B86C6E" w:rsidRPr="00C474ED" w:rsidRDefault="00B86C6E" w:rsidP="00B86C6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lang w:val="pt-PT"/>
        </w:rPr>
        <w:t>Queue</w:t>
      </w:r>
    </w:p>
    <w:p w:rsidR="00C474ED" w:rsidRPr="00B86C6E" w:rsidRDefault="00C474ED" w:rsidP="00C474ED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Incluí os ficheiros “</w:t>
      </w:r>
      <w:r w:rsidRPr="00A93D65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Queue.c</w:t>
      </w:r>
      <w:r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”, “</w:t>
      </w:r>
      <w:r w:rsidRPr="00A93D65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Queue.h</w:t>
      </w:r>
      <w:r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”, “</w:t>
      </w:r>
      <w:r w:rsidRPr="00A93D65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QueueP.c</w:t>
      </w:r>
      <w:r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 e “</w:t>
      </w:r>
      <w:r w:rsidRPr="00A93D65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QueueP.h</w:t>
      </w:r>
      <w:r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”. Os dois primeiros ficheiros mencionados estão presentes em ambos os diretórios pois a fila de prioridade (“</w:t>
      </w:r>
      <w:r w:rsidRPr="00A93D65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QueueP</w:t>
      </w:r>
      <w:r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”) usa a implementação normal de filas, acrescentando as funções que irão tratar da organização da fila pelo seu grau de urgência.</w:t>
      </w:r>
      <w:r w:rsidR="00A93D65"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</w:t>
      </w:r>
      <w:r w:rsidR="00B05A43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Este tipo de queue de prioridade usa duas filas, uma fila urgência e uma normal. Só são tratados os clientes da fila normal quando a urgente estiver vazia. </w:t>
      </w:r>
      <w:r w:rsidR="00A93D65" w:rsidRPr="00A93D65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Para além da criação das filas, estes ficheiros manipulam a fila, adicionado e removendo valores, verificar se está vazia, verificar se está cheia, libertar a queue e escrevê-la.</w:t>
      </w:r>
    </w:p>
    <w:p w:rsidR="00B86C6E" w:rsidRPr="00A93D65" w:rsidRDefault="00B86C6E" w:rsidP="00B86C6E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lang w:val="pt-PT"/>
        </w:rPr>
        <w:t>Simulador</w:t>
      </w:r>
    </w:p>
    <w:p w:rsidR="00A93D65" w:rsidRPr="00B86C6E" w:rsidRDefault="00A93D65" w:rsidP="00A93D65">
      <w:pPr>
        <w:pStyle w:val="Heading2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</w:pPr>
      <w:r w:rsidRPr="00B1619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Incluí os ficheiros “</w:t>
      </w:r>
      <w:r w:rsidR="00B1619D" w:rsidRPr="00B1619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Simulador.c</w:t>
      </w:r>
      <w:r w:rsidR="00B1619D" w:rsidRPr="00B1619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” e “</w:t>
      </w:r>
      <w:r w:rsidR="00B1619D" w:rsidRPr="00B1619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Simulad</w:t>
      </w:r>
      <w:r w:rsidR="00B1619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or.h</w:t>
      </w:r>
      <w:r w:rsidR="00B1619D" w:rsidRPr="00B1619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”. Este grupo trata de todo o processo de simulação, desde obter as informações do primeiro cliente na fila e tratar do mesmo, identificar quais as caixas que estão cheias e não permitir que entrem mais clientes até abrirem vagas, mostrar as caixas existentes e processar os resultados obtidos de cada ciclo da simulação. Todos os valores que são expostos à simulação são randomizados (usando a biblioteca </w:t>
      </w:r>
      <w:r w:rsidR="00B1619D" w:rsidRPr="00B1619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rand</w:t>
      </w:r>
      <w:r w:rsidR="00B1619D" w:rsidRPr="00B1619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 xml:space="preserve"> do </w:t>
      </w:r>
      <w:r w:rsidR="00B1619D" w:rsidRPr="00B1619D">
        <w:rPr>
          <w:rFonts w:asciiTheme="minorHAnsi" w:eastAsiaTheme="minorHAnsi" w:hAnsiTheme="minorHAnsi" w:cstheme="minorBidi"/>
          <w:i/>
          <w:iCs/>
          <w:color w:val="707070" w:themeColor="accent1"/>
          <w:szCs w:val="22"/>
          <w:lang w:val="pt-PT"/>
        </w:rPr>
        <w:t>C</w:t>
      </w:r>
      <w:r w:rsidR="00B1619D" w:rsidRPr="00B1619D">
        <w:rPr>
          <w:rFonts w:asciiTheme="minorHAnsi" w:eastAsiaTheme="minorHAnsi" w:hAnsiTheme="minorHAnsi" w:cstheme="minorBidi"/>
          <w:color w:val="707070" w:themeColor="accent1"/>
          <w:szCs w:val="22"/>
          <w:lang w:val="pt-PT"/>
        </w:rPr>
        <w:t>), exceto os quatro fatores apresentados na introdução, esses são inseridos pelo utilizador.</w:t>
      </w:r>
    </w:p>
    <w:p w:rsidR="00F32C4F" w:rsidRPr="00B1619D" w:rsidRDefault="00B1619D">
      <w:pPr>
        <w:pStyle w:val="Heading1"/>
        <w:rPr>
          <w:lang w:val="pt-PT"/>
        </w:rPr>
      </w:pPr>
      <w:r w:rsidRPr="00B1619D">
        <w:rPr>
          <w:lang w:val="pt-PT"/>
        </w:rPr>
        <w:t>FILAS DE prioridade: Suporte vetorial</w:t>
      </w:r>
      <w:r>
        <w:rPr>
          <w:lang w:val="pt-PT"/>
        </w:rPr>
        <w:t xml:space="preserve"> vs listas ligadas</w:t>
      </w:r>
    </w:p>
    <w:p w:rsidR="00F32C4F" w:rsidRDefault="00B1619D" w:rsidP="00B1619D">
      <w:pPr>
        <w:rPr>
          <w:lang w:val="pt-PT"/>
        </w:rPr>
      </w:pPr>
      <w:r w:rsidRPr="00B1619D">
        <w:rPr>
          <w:lang w:val="pt-PT"/>
        </w:rPr>
        <w:t xml:space="preserve">Apesar de </w:t>
      </w:r>
      <w:r>
        <w:rPr>
          <w:lang w:val="pt-PT"/>
        </w:rPr>
        <w:t xml:space="preserve">na nossa implementação usarmos suporte vetorial nas filas de prioridade, entendemos as </w:t>
      </w:r>
      <w:r w:rsidRPr="006A69AA">
        <w:rPr>
          <w:lang w:val="pt-PT"/>
        </w:rPr>
        <w:t>desvantagens</w:t>
      </w:r>
      <w:r>
        <w:rPr>
          <w:lang w:val="pt-PT"/>
        </w:rPr>
        <w:t xml:space="preserve"> do seu uso face às listas ligadas.</w:t>
      </w:r>
      <w:r w:rsidR="0095621D">
        <w:rPr>
          <w:lang w:val="pt-PT"/>
        </w:rPr>
        <w:t xml:space="preserve"> </w:t>
      </w:r>
      <w:bookmarkStart w:id="0" w:name="_GoBack"/>
      <w:bookmarkEnd w:id="0"/>
    </w:p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5621D" w:rsidRPr="00B05A43" w:rsidTr="00956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6" w:type="dxa"/>
          </w:tcPr>
          <w:p w:rsidR="0095621D" w:rsidRDefault="0095621D" w:rsidP="00B1619D">
            <w:pPr>
              <w:ind w:left="0"/>
              <w:rPr>
                <w:lang w:val="pt-PT"/>
              </w:rPr>
            </w:pPr>
          </w:p>
        </w:tc>
        <w:tc>
          <w:tcPr>
            <w:tcW w:w="2877" w:type="dxa"/>
          </w:tcPr>
          <w:p w:rsidR="0095621D" w:rsidRDefault="0095621D" w:rsidP="00B1619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877" w:type="dxa"/>
          </w:tcPr>
          <w:p w:rsidR="0095621D" w:rsidRDefault="0095621D" w:rsidP="00B1619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5621D" w:rsidTr="0095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5621D" w:rsidRPr="006A69AA" w:rsidRDefault="0095621D" w:rsidP="00B1619D">
            <w:pPr>
              <w:ind w:left="0"/>
              <w:rPr>
                <w:i w:val="0"/>
                <w:iCs w:val="0"/>
                <w:color w:val="000000" w:themeColor="text1"/>
                <w:lang w:val="pt-PT"/>
              </w:rPr>
            </w:pPr>
            <w:r w:rsidRPr="006A69AA">
              <w:rPr>
                <w:i w:val="0"/>
                <w:iCs w:val="0"/>
                <w:color w:val="000000" w:themeColor="text1"/>
                <w:lang w:val="pt-PT"/>
              </w:rPr>
              <w:t>FILAS DE PRIORIDADE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pt-PT"/>
              </w:rPr>
            </w:pPr>
            <w:r w:rsidRPr="006A69AA">
              <w:rPr>
                <w:color w:val="000000" w:themeColor="text1"/>
                <w:lang w:val="pt-PT"/>
              </w:rPr>
              <w:t>SUPORTE VETORIAL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000000" w:themeColor="text1"/>
                <w:lang w:val="pt-PT"/>
              </w:rPr>
              <w:t>LISTAS LIGADAS</w:t>
            </w:r>
          </w:p>
        </w:tc>
      </w:tr>
      <w:tr w:rsidR="0095621D" w:rsidRPr="00B05A43" w:rsidTr="0095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5621D" w:rsidRPr="006A69AA" w:rsidRDefault="0095621D" w:rsidP="00B1619D">
            <w:pPr>
              <w:ind w:left="0"/>
              <w:rPr>
                <w:i w:val="0"/>
                <w:iCs w:val="0"/>
                <w:color w:val="707070" w:themeColor="accent1"/>
                <w:lang w:val="pt-PT"/>
              </w:rPr>
            </w:pPr>
            <w:r w:rsidRPr="006A69AA">
              <w:rPr>
                <w:i w:val="0"/>
                <w:iCs w:val="0"/>
                <w:color w:val="000000" w:themeColor="text1"/>
                <w:lang w:val="pt-PT"/>
              </w:rPr>
              <w:t>Memória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707070" w:themeColor="accent1"/>
                <w:lang w:val="pt-PT"/>
              </w:rPr>
              <w:t>Estática (tamanho máximo tem de ser declarado antes do uso do vetor).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707070" w:themeColor="accent1"/>
                <w:lang w:val="pt-PT"/>
              </w:rPr>
              <w:t>Cresce consoante o espaço que é necessário.</w:t>
            </w:r>
          </w:p>
        </w:tc>
      </w:tr>
      <w:tr w:rsidR="0095621D" w:rsidRPr="00B05A43" w:rsidTr="0095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5621D" w:rsidRPr="006A69AA" w:rsidRDefault="0095621D" w:rsidP="00B1619D">
            <w:pPr>
              <w:ind w:left="0"/>
              <w:rPr>
                <w:i w:val="0"/>
                <w:iCs w:val="0"/>
                <w:color w:val="707070" w:themeColor="accent1"/>
                <w:lang w:val="pt-PT"/>
              </w:rPr>
            </w:pPr>
            <w:r w:rsidRPr="006A69AA">
              <w:rPr>
                <w:i w:val="0"/>
                <w:iCs w:val="0"/>
                <w:color w:val="000000" w:themeColor="text1"/>
                <w:lang w:val="pt-PT"/>
              </w:rPr>
              <w:t>Enqueue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707070" w:themeColor="accent1"/>
                <w:lang w:val="pt-PT"/>
              </w:rPr>
              <w:t>Sabendo qual o índice em que é preciso adicionar o valor da fila, torna-se mais rápido.</w:t>
            </w:r>
            <w:r w:rsidR="006A69AA" w:rsidRPr="006A69AA">
              <w:rPr>
                <w:color w:val="707070" w:themeColor="accent1"/>
                <w:lang w:val="pt-PT"/>
              </w:rPr>
              <w:t xml:space="preserve"> Tendo um suporte vetorial circular, a adição ainda é mais rápida.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707070" w:themeColor="accent1"/>
                <w:lang w:val="pt-PT"/>
              </w:rPr>
              <w:t>Necessário percorrer a lista toda para adicionar</w:t>
            </w:r>
            <w:r w:rsidR="00B05A43">
              <w:rPr>
                <w:color w:val="707070" w:themeColor="accent1"/>
                <w:lang w:val="pt-PT"/>
              </w:rPr>
              <w:t>.</w:t>
            </w:r>
          </w:p>
        </w:tc>
      </w:tr>
      <w:tr w:rsidR="0095621D" w:rsidRPr="00B05A43" w:rsidTr="0095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5621D" w:rsidRPr="006A69AA" w:rsidRDefault="0095621D" w:rsidP="00B1619D">
            <w:pPr>
              <w:ind w:left="0"/>
              <w:rPr>
                <w:i w:val="0"/>
                <w:iCs w:val="0"/>
                <w:color w:val="707070" w:themeColor="accent1"/>
                <w:lang w:val="pt-PT"/>
              </w:rPr>
            </w:pPr>
            <w:r w:rsidRPr="006A69AA">
              <w:rPr>
                <w:i w:val="0"/>
                <w:iCs w:val="0"/>
                <w:color w:val="000000" w:themeColor="text1"/>
                <w:lang w:val="pt-PT"/>
              </w:rPr>
              <w:t>Dequeue</w:t>
            </w:r>
          </w:p>
        </w:tc>
        <w:tc>
          <w:tcPr>
            <w:tcW w:w="2877" w:type="dxa"/>
          </w:tcPr>
          <w:p w:rsidR="0095621D" w:rsidRPr="006A69AA" w:rsidRDefault="0095621D" w:rsidP="00B161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707070" w:themeColor="accent1"/>
                <w:lang w:val="pt-PT"/>
              </w:rPr>
              <w:t>Tempo idêntico</w:t>
            </w:r>
            <w:r w:rsidR="006A69AA" w:rsidRPr="006A69AA">
              <w:rPr>
                <w:color w:val="707070" w:themeColor="accent1"/>
                <w:lang w:val="pt-PT"/>
              </w:rPr>
              <w:t xml:space="preserve"> pois remove-se o primeiro valor (Filas FIFO (</w:t>
            </w:r>
            <w:r w:rsidR="006A69AA" w:rsidRPr="006A69AA">
              <w:rPr>
                <w:i/>
                <w:iCs/>
                <w:color w:val="707070" w:themeColor="accent1"/>
                <w:lang w:val="pt-PT"/>
              </w:rPr>
              <w:t>First In, First Out</w:t>
            </w:r>
            <w:r w:rsidR="006A69AA" w:rsidRPr="006A69AA">
              <w:rPr>
                <w:color w:val="707070" w:themeColor="accent1"/>
                <w:lang w:val="pt-PT"/>
              </w:rPr>
              <w:t>)</w:t>
            </w:r>
            <w:r w:rsidR="006A69AA">
              <w:rPr>
                <w:color w:val="707070" w:themeColor="accent1"/>
                <w:lang w:val="pt-PT"/>
              </w:rPr>
              <w:t>)</w:t>
            </w:r>
          </w:p>
        </w:tc>
        <w:tc>
          <w:tcPr>
            <w:tcW w:w="2877" w:type="dxa"/>
          </w:tcPr>
          <w:p w:rsidR="0095621D" w:rsidRPr="006A69AA" w:rsidRDefault="006A69AA" w:rsidP="00B1619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  <w:lang w:val="pt-PT"/>
              </w:rPr>
            </w:pPr>
            <w:r w:rsidRPr="006A69AA">
              <w:rPr>
                <w:color w:val="707070" w:themeColor="accent1"/>
                <w:lang w:val="pt-PT"/>
              </w:rPr>
              <w:t>Tempo idêntico pois remove-se o primeiro valor (Filas FIFO (</w:t>
            </w:r>
            <w:r w:rsidRPr="006A69AA">
              <w:rPr>
                <w:i/>
                <w:iCs/>
                <w:color w:val="707070" w:themeColor="accent1"/>
                <w:lang w:val="pt-PT"/>
              </w:rPr>
              <w:t>First In, First Out</w:t>
            </w:r>
            <w:r w:rsidRPr="006A69AA">
              <w:rPr>
                <w:color w:val="707070" w:themeColor="accent1"/>
                <w:lang w:val="pt-PT"/>
              </w:rPr>
              <w:t>)</w:t>
            </w:r>
            <w:r>
              <w:rPr>
                <w:color w:val="707070" w:themeColor="accent1"/>
                <w:lang w:val="pt-PT"/>
              </w:rPr>
              <w:t>)</w:t>
            </w:r>
          </w:p>
        </w:tc>
      </w:tr>
    </w:tbl>
    <w:p w:rsidR="006A69AA" w:rsidRPr="006A69AA" w:rsidRDefault="006A69AA" w:rsidP="006A69AA">
      <w:pPr>
        <w:ind w:left="0"/>
        <w:rPr>
          <w:lang w:val="pt-PT"/>
        </w:rPr>
      </w:pPr>
    </w:p>
    <w:sectPr w:rsidR="006A69AA" w:rsidRPr="006A69A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926" w:rsidRDefault="00672926">
      <w:pPr>
        <w:spacing w:after="0" w:line="240" w:lineRule="auto"/>
      </w:pPr>
      <w:r>
        <w:separator/>
      </w:r>
    </w:p>
    <w:p w:rsidR="00672926" w:rsidRDefault="00672926"/>
  </w:endnote>
  <w:endnote w:type="continuationSeparator" w:id="0">
    <w:p w:rsidR="00672926" w:rsidRDefault="00672926">
      <w:pPr>
        <w:spacing w:after="0" w:line="240" w:lineRule="auto"/>
      </w:pPr>
      <w:r>
        <w:continuationSeparator/>
      </w:r>
    </w:p>
    <w:p w:rsidR="00672926" w:rsidRDefault="00672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C4F" w:rsidRDefault="00232C4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926" w:rsidRDefault="00672926">
      <w:pPr>
        <w:spacing w:after="0" w:line="240" w:lineRule="auto"/>
      </w:pPr>
      <w:r>
        <w:separator/>
      </w:r>
    </w:p>
    <w:p w:rsidR="00672926" w:rsidRDefault="00672926"/>
  </w:footnote>
  <w:footnote w:type="continuationSeparator" w:id="0">
    <w:p w:rsidR="00672926" w:rsidRDefault="00672926">
      <w:pPr>
        <w:spacing w:after="0" w:line="240" w:lineRule="auto"/>
      </w:pPr>
      <w:r>
        <w:continuationSeparator/>
      </w:r>
    </w:p>
    <w:p w:rsidR="00672926" w:rsidRDefault="006729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F58"/>
    <w:multiLevelType w:val="hybridMultilevel"/>
    <w:tmpl w:val="5EDEFC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E7E7AD2"/>
    <w:multiLevelType w:val="hybridMultilevel"/>
    <w:tmpl w:val="7168FC10"/>
    <w:lvl w:ilvl="0" w:tplc="22823CC4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FD"/>
    <w:rsid w:val="00232C44"/>
    <w:rsid w:val="003F4871"/>
    <w:rsid w:val="00672926"/>
    <w:rsid w:val="006A69AA"/>
    <w:rsid w:val="0095621D"/>
    <w:rsid w:val="00A93D65"/>
    <w:rsid w:val="00B05A43"/>
    <w:rsid w:val="00B1619D"/>
    <w:rsid w:val="00B86C6E"/>
    <w:rsid w:val="00C474ED"/>
    <w:rsid w:val="00DD04E1"/>
    <w:rsid w:val="00E75AFD"/>
    <w:rsid w:val="00F3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2B0DC"/>
  <w15:chartTrackingRefBased/>
  <w15:docId w15:val="{D1F8CA39-1214-C349-B170-57568F82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5yl5">
    <w:name w:val="_5yl5"/>
    <w:basedOn w:val="DefaultParagraphFont"/>
    <w:rsid w:val="00B1619D"/>
  </w:style>
  <w:style w:type="table" w:styleId="TableGrid">
    <w:name w:val="Table Grid"/>
    <w:basedOn w:val="TableNormal"/>
    <w:uiPriority w:val="39"/>
    <w:rsid w:val="0095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95621D"/>
    <w:pPr>
      <w:spacing w:after="0" w:line="240" w:lineRule="auto"/>
    </w:pPr>
    <w:rPr>
      <w:color w:val="222222" w:themeColor="accent2" w:themeShade="BF"/>
    </w:rPr>
    <w:tblPr>
      <w:tblStyleRowBandSize w:val="1"/>
      <w:tblStyleColBandSize w:val="1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  <w:tblStylePr w:type="neCell">
      <w:tblPr/>
      <w:tcPr>
        <w:tcBorders>
          <w:bottom w:val="single" w:sz="4" w:space="0" w:color="818181" w:themeColor="accent2" w:themeTint="99"/>
        </w:tcBorders>
      </w:tcPr>
    </w:tblStylePr>
    <w:tblStylePr w:type="nwCell">
      <w:tblPr/>
      <w:tcPr>
        <w:tcBorders>
          <w:bottom w:val="single" w:sz="4" w:space="0" w:color="818181" w:themeColor="accent2" w:themeTint="99"/>
        </w:tcBorders>
      </w:tcPr>
    </w:tblStylePr>
    <w:tblStylePr w:type="seCell">
      <w:tblPr/>
      <w:tcPr>
        <w:tcBorders>
          <w:top w:val="single" w:sz="4" w:space="0" w:color="818181" w:themeColor="accent2" w:themeTint="99"/>
        </w:tcBorders>
      </w:tcPr>
    </w:tblStylePr>
    <w:tblStylePr w:type="swCell">
      <w:tblPr/>
      <w:tcPr>
        <w:tcBorders>
          <w:top w:val="single" w:sz="4" w:space="0" w:color="818181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6A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jmbernardes/Library/Containers/com.microsoft.Word/Data/Library/Application%20Support/Microsoft/Office/16.0/DTS/Search/%7b36155C98-6BD8-C54B-BA15-81E799D6366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{36155C98-6BD8-C54B-BA15-81E799D63663}tf10002082.dotx</Template>
  <TotalTime>78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José Moreira Bernardes</cp:lastModifiedBy>
  <cp:revision>2</cp:revision>
  <dcterms:created xsi:type="dcterms:W3CDTF">2019-05-27T14:41:00Z</dcterms:created>
  <dcterms:modified xsi:type="dcterms:W3CDTF">2019-05-27T16:56:00Z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