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jc w:val="left"/>
      </w:pPr>
      <w:r>
        <w:t>ABC PRO — Registo de Trabalho, Estado Atual e Transição para v12</w:t>
      </w:r>
    </w:p>
    <w:p>
      <w:pPr>
        <w:pStyle w:val="SubtitleStyle"/>
      </w:pPr>
      <w:r>
        <w:t>Documento de continuidade: o que já foi feito, em que estado estamos e o que falta até à linha v12.</w:t>
      </w:r>
    </w:p>
    <w:p>
      <w:pPr>
        <w:pStyle w:val="SmallStyle"/>
      </w:pPr>
      <w:r>
        <w:t>Versão do documento: 1.0 | Uso previsto: migração de contexto / continuidade entre chats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color="355C8A" w:space="0"/>
          <w:left w:val="single" w:sz="10" w:color="355C8A" w:space="0"/>
          <w:bottom w:val="single" w:sz="10" w:color="355C8A" w:space="0"/>
          <w:right w:val="single" w:sz="10" w:color="355C8A" w:space="0"/>
          <w:insideH w:val="single" w:sz="10" w:color="355C8A" w:space="0"/>
          <w:insideV w:val="single" w:sz="10" w:color="355C8A" w:space="0"/>
        </w:tblBorders>
      </w:tblPr>
      <w:tblGrid>
        <w:gridCol w:w="9746"/>
      </w:tblGrid>
      <w:tr>
        <w:tc>
          <w:tcPr>
            <w:tcW w:type="dxa" w:w="9746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355C8A"/>
                <w:sz w:val="21"/>
              </w:rPr>
              <w:t>Finalidade</w:t>
              <w:br/>
            </w:r>
            <w:r>
              <w:rPr>
                <w:sz w:val="20"/>
              </w:rPr>
              <w:t>Este documento resume o percurso do projeto até à v11.5, a lógica de validação em curso e os próximos passos concretos. Serve como segunda linha de segurança para garantir continuidade, mesmo que o histórico do chat fique pesado ou indisponível.</w:t>
            </w:r>
          </w:p>
        </w:tc>
      </w:tr>
    </w:tbl>
    <w:p/>
    <w:p>
      <w:pPr>
        <w:pStyle w:val="SectionStyle"/>
      </w:pPr>
      <w:r>
        <w:t>1. Resumo executivo do percurso</w:t>
      </w:r>
    </w:p>
    <w:p>
      <w:pPr>
        <w:ind w:left="170" w:hanging="113"/>
      </w:pPr>
      <w:r>
        <w:rPr>
          <w:b/>
        </w:rPr>
        <w:t xml:space="preserve">• </w:t>
      </w:r>
      <w:r>
        <w:t>O projeto começou com um scanner portátil, leve, em evolução contínua, com foco inicial em estabilidade, portabilidade e leitura básica de picks.</w:t>
      </w:r>
    </w:p>
    <w:p>
      <w:pPr>
        <w:ind w:left="170" w:hanging="113"/>
      </w:pPr>
      <w:r>
        <w:rPr>
          <w:b/>
        </w:rPr>
        <w:t xml:space="preserve">• </w:t>
      </w:r>
      <w:r>
        <w:t>Ao longo das versões 8.x a 11.x, o sistema evoluiu de simples listagem de jogos para um mecanismo com mercado sugerido, classificação de value, stake, bankroll, registo e validação.</w:t>
      </w:r>
    </w:p>
    <w:p>
      <w:pPr>
        <w:ind w:left="170" w:hanging="113"/>
      </w:pPr>
      <w:r>
        <w:rPr>
          <w:b/>
        </w:rPr>
        <w:t xml:space="preserve">• </w:t>
      </w:r>
      <w:r>
        <w:t>A v11.5 é a baseline oficial para testes reais porque foi a primeira versão orientada a fixtures reais do dia via API e com fluxo completo de aposta -&gt; registo -&gt; fecho manual -&gt; banca.</w:t>
      </w:r>
    </w:p>
    <w:p>
      <w:pPr>
        <w:pStyle w:val="SectionStyle"/>
      </w:pPr>
      <w:r>
        <w:t>2. O que foi consolidado até à v11.5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C8CED8" w:space="0"/>
          <w:left w:val="single" w:sz="8" w:color="C8CED8" w:space="0"/>
          <w:bottom w:val="single" w:sz="8" w:color="C8CED8" w:space="0"/>
          <w:right w:val="single" w:sz="8" w:color="C8CED8" w:space="0"/>
          <w:insideH w:val="single" w:sz="8" w:color="C8CED8" w:space="0"/>
          <w:insideV w:val="single" w:sz="8" w:color="C8CED8" w:space="0"/>
        </w:tblBorders>
      </w:tblPr>
      <w:tblGrid>
        <w:gridCol w:w="3249"/>
        <w:gridCol w:w="3249"/>
        <w:gridCol w:w="3249"/>
      </w:tblGrid>
      <w:tr>
        <w:tc>
          <w:tcPr>
            <w:tcW w:type="dxa" w:w="1928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Bloco</w:t>
            </w:r>
          </w:p>
        </w:tc>
        <w:tc>
          <w:tcPr>
            <w:tcW w:type="dxa" w:w="1701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Estado</w:t>
            </w:r>
          </w:p>
        </w:tc>
        <w:tc>
          <w:tcPr>
            <w:tcW w:type="dxa" w:w="4649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O que está efetivamente resolvido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Portabilidade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Consolidado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Aplicação local, leve e operacional em ambiente portátil.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Fixtures reais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Consolidado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Busca jogos do dia via API e filtra ligas-alvo.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Mercados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Parcial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Já sugere mercado, mas o motor ainda é heurístico e não deriva dos indicadores ABC PRO.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Execução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Consolidado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Registo local de apostas e fecho manual WIN / LOSS / VOID.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Banca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Consolidado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Banca inicial e atual, histórico e drawdown simples.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Validação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Consolidado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ROI, strike rate, profit factor e histórico recente.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Indicadores avançados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Não integrados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TSI/DCI e probabilidades por mercado estão em linha paralela (v12).</w:t>
            </w:r>
          </w:p>
        </w:tc>
      </w:tr>
    </w:tbl>
    <w:p/>
    <w:p>
      <w:pPr>
        <w:pStyle w:val="SectionStyle"/>
      </w:pPr>
      <w:r>
        <w:t>3. Racional da v11.5 como versão de testes</w:t>
      </w:r>
    </w:p>
    <w:p>
      <w:pPr>
        <w:ind w:left="170" w:hanging="113"/>
      </w:pPr>
      <w:r>
        <w:rPr>
          <w:b/>
        </w:rPr>
        <w:t xml:space="preserve">• </w:t>
      </w:r>
      <w:r>
        <w:t>A v11.5 permite testar o processo real, não apenas o modelo: jogos reais do dia, picks reais, registo real e fecho manual.</w:t>
      </w:r>
    </w:p>
    <w:p>
      <w:pPr>
        <w:ind w:left="170" w:hanging="113"/>
      </w:pPr>
      <w:r>
        <w:rPr>
          <w:b/>
        </w:rPr>
        <w:t xml:space="preserve">• </w:t>
      </w:r>
      <w:r>
        <w:t>É importante não mexer na v11.5 durante a fase oficial de validação. O objetivo é observar o sistema, não ‘ajudá-lo’.</w:t>
      </w:r>
    </w:p>
    <w:p>
      <w:pPr>
        <w:ind w:left="170" w:hanging="113"/>
      </w:pPr>
      <w:r>
        <w:rPr>
          <w:b/>
        </w:rPr>
        <w:t xml:space="preserve">• </w:t>
      </w:r>
      <w:r>
        <w:t>A versão foi escolhida como baseline por combinar o fluxo operacional com a leveza técnica necessária ao hardware disponível.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color="355C8A" w:space="0"/>
          <w:left w:val="single" w:sz="10" w:color="355C8A" w:space="0"/>
          <w:bottom w:val="single" w:sz="10" w:color="355C8A" w:space="0"/>
          <w:right w:val="single" w:sz="10" w:color="355C8A" w:space="0"/>
          <w:insideH w:val="single" w:sz="10" w:color="355C8A" w:space="0"/>
          <w:insideV w:val="single" w:sz="10" w:color="355C8A" w:space="0"/>
        </w:tblBorders>
      </w:tblPr>
      <w:tblGrid>
        <w:gridCol w:w="9746"/>
      </w:tblGrid>
      <w:tr>
        <w:tc>
          <w:tcPr>
            <w:tcW w:type="dxa" w:w="9746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355C8A"/>
                <w:sz w:val="21"/>
              </w:rPr>
              <w:t>Regra de ouro da validação</w:t>
              <w:br/>
            </w:r>
            <w:r>
              <w:rPr>
                <w:sz w:val="20"/>
              </w:rPr>
              <w:t>Durante o teste oficial da v11.5, não se ajusta o motor, os thresholds, as stakes ou os mercados. A ideia é deixar o sistema viver e observar a sua performance.</w:t>
            </w:r>
          </w:p>
        </w:tc>
      </w:tr>
    </w:tbl>
    <w:p/>
    <w:p>
      <w:pPr>
        <w:pStyle w:val="SectionStyle"/>
      </w:pPr>
      <w:r>
        <w:t>4. Plano oficial de validação — 50 apostas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C8CED8" w:space="0"/>
          <w:left w:val="single" w:sz="8" w:color="C8CED8" w:space="0"/>
          <w:bottom w:val="single" w:sz="8" w:color="C8CED8" w:space="0"/>
          <w:right w:val="single" w:sz="8" w:color="C8CED8" w:space="0"/>
          <w:insideH w:val="single" w:sz="8" w:color="C8CED8" w:space="0"/>
          <w:insideV w:val="single" w:sz="8" w:color="C8CED8" w:space="0"/>
        </w:tblBorders>
      </w:tblPr>
      <w:tblGrid>
        <w:gridCol w:w="4873"/>
        <w:gridCol w:w="4873"/>
      </w:tblGrid>
      <w:tr>
        <w:tc>
          <w:tcPr>
            <w:tcW w:type="dxa" w:w="2268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6009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Definição acordada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Banca inicial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100u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Amostra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50 apostas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Checkpoints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10 / 20 / 30 / 40 / 50 apostas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Stake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Conforme sistema (normalmente 1u / 2u)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Mudanças na baseline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Nenhuma até fechar as 50 apostas</w:t>
            </w:r>
          </w:p>
        </w:tc>
      </w:tr>
    </w:tbl>
    <w:p/>
    <w:p>
      <w:pPr>
        <w:pStyle w:val="SubsectionStyle"/>
      </w:pPr>
      <w:r>
        <w:t>Escala de leitura esperada para as 50 apostas: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C8CED8" w:space="0"/>
          <w:left w:val="single" w:sz="8" w:color="C8CED8" w:space="0"/>
          <w:bottom w:val="single" w:sz="8" w:color="C8CED8" w:space="0"/>
          <w:right w:val="single" w:sz="8" w:color="C8CED8" w:space="0"/>
          <w:insideH w:val="single" w:sz="8" w:color="C8CED8" w:space="0"/>
          <w:insideV w:val="single" w:sz="8" w:color="C8CED8" w:space="0"/>
        </w:tblBorders>
      </w:tblPr>
      <w:tblGrid>
        <w:gridCol w:w="3249"/>
        <w:gridCol w:w="3249"/>
        <w:gridCol w:w="3249"/>
      </w:tblGrid>
      <w:tr>
        <w:tc>
          <w:tcPr>
            <w:tcW w:type="dxa" w:w="1701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Zona</w:t>
            </w:r>
          </w:p>
        </w:tc>
        <w:tc>
          <w:tcPr>
            <w:tcW w:type="dxa" w:w="1814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ROI esperado</w:t>
            </w:r>
          </w:p>
        </w:tc>
        <w:tc>
          <w:tcPr>
            <w:tcW w:type="dxa" w:w="4762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Leitura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Mínimo / alerta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-5% a 0%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Pode ser ausência de edge ou variância negativa; pede cautela.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Aceitável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0% a 5%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Sistema pode ter edge leve; requer mais amostra.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Bom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5% a 10%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Sinal de sistema sólido.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Muito bom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10% a 15%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Edge claro e potencial sério.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‘Uau’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15%+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Sistema muito forte; ainda assim, precisa de maturidade estatística.</w:t>
            </w:r>
          </w:p>
        </w:tc>
      </w:tr>
    </w:tbl>
    <w:p/>
    <w:p>
      <w:pPr>
        <w:pStyle w:val="SectionStyle"/>
      </w:pPr>
      <w:r>
        <w:t>5. Procedimento operacional diário na v11.5</w:t>
      </w:r>
    </w:p>
    <w:p>
      <w:pPr>
        <w:ind w:left="170" w:hanging="113"/>
      </w:pPr>
      <w:r>
        <w:rPr>
          <w:b/>
        </w:rPr>
        <w:t xml:space="preserve">• </w:t>
      </w:r>
      <w:r>
        <w:t>Escolher a data e correr o scanner.</w:t>
      </w:r>
    </w:p>
    <w:p>
      <w:pPr>
        <w:ind w:left="170" w:hanging="113"/>
      </w:pPr>
      <w:r>
        <w:rPr>
          <w:b/>
        </w:rPr>
        <w:t xml:space="preserve">• </w:t>
      </w:r>
      <w:r>
        <w:t>Verificar se o cabeçalho mostra ‘Fonte: API’ e se o número de jogos elegíveis faz sentido para essa data.</w:t>
      </w:r>
    </w:p>
    <w:p>
      <w:pPr>
        <w:ind w:left="170" w:hanging="113"/>
      </w:pPr>
      <w:r>
        <w:rPr>
          <w:b/>
        </w:rPr>
        <w:t xml:space="preserve">• </w:t>
      </w:r>
      <w:r>
        <w:t>Analisar o BEST OF DAY e o ALL, sem acrescentar opinião humana por fora do sistema.</w:t>
      </w:r>
    </w:p>
    <w:p>
      <w:pPr>
        <w:ind w:left="170" w:hanging="113"/>
      </w:pPr>
      <w:r>
        <w:rPr>
          <w:b/>
        </w:rPr>
        <w:t xml:space="preserve">• </w:t>
      </w:r>
      <w:r>
        <w:t>Usar o botão ‘Apostar’ apenas nas picks que forem efetivamente seguidas.</w:t>
      </w:r>
    </w:p>
    <w:p>
      <w:pPr>
        <w:ind w:left="170" w:hanging="113"/>
      </w:pPr>
      <w:r>
        <w:rPr>
          <w:b/>
        </w:rPr>
        <w:t xml:space="preserve">• </w:t>
      </w:r>
      <w:r>
        <w:t>Após o fim dos jogos, fechar manualmente as apostas em ‘Apostas abertas’.</w:t>
      </w:r>
    </w:p>
    <w:p>
      <w:pPr>
        <w:ind w:left="170" w:hanging="113"/>
      </w:pPr>
      <w:r>
        <w:rPr>
          <w:b/>
        </w:rPr>
        <w:t xml:space="preserve">• </w:t>
      </w:r>
      <w:r>
        <w:t>Registar a mesma informação no Excel de tracking para redundância e análise posterior.</w:t>
      </w:r>
    </w:p>
    <w:p>
      <w:pPr>
        <w:pStyle w:val="SectionStyle"/>
      </w:pPr>
      <w:r>
        <w:t>6. Template paralelo de tracking</w:t>
      </w:r>
    </w:p>
    <w:p>
      <w:pPr>
        <w:ind w:left="170" w:hanging="113"/>
      </w:pPr>
      <w:r>
        <w:rPr>
          <w:b/>
        </w:rPr>
        <w:t xml:space="preserve">• </w:t>
      </w:r>
      <w:r>
        <w:t>Foi criado um Excel com colunas: Nº, Data, Jogo, Mercado, Odd, Stake, Resultado, Lucro, Banca, Tipo e Nota.</w:t>
      </w:r>
    </w:p>
    <w:p>
      <w:pPr>
        <w:ind w:left="170" w:hanging="113"/>
      </w:pPr>
      <w:r>
        <w:rPr>
          <w:b/>
        </w:rPr>
        <w:t xml:space="preserve">• </w:t>
      </w:r>
      <w:r>
        <w:t>Esse ficheiro serve como redundância externa ao sistema e como apoio à análise checkpoint a checkpoint.</w:t>
      </w:r>
    </w:p>
    <w:p>
      <w:pPr>
        <w:ind w:left="170" w:hanging="113"/>
      </w:pPr>
      <w:r>
        <w:rPr>
          <w:b/>
        </w:rPr>
        <w:t xml:space="preserve">• </w:t>
      </w:r>
      <w:r>
        <w:t>A recomendação é usar notas curtas, por exemplo: ‘✔ alinhada’, ‘⚠ dúvida’, ‘forçada’.</w:t>
      </w:r>
    </w:p>
    <w:p>
      <w:pPr>
        <w:pStyle w:val="SectionStyle"/>
      </w:pPr>
      <w:r>
        <w:t>7. Questões e melhorias já identificadas na linha v11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C8CED8" w:space="0"/>
          <w:left w:val="single" w:sz="8" w:color="C8CED8" w:space="0"/>
          <w:bottom w:val="single" w:sz="8" w:color="C8CED8" w:space="0"/>
          <w:right w:val="single" w:sz="8" w:color="C8CED8" w:space="0"/>
          <w:insideH w:val="single" w:sz="8" w:color="C8CED8" w:space="0"/>
          <w:insideV w:val="single" w:sz="8" w:color="C8CED8" w:space="0"/>
        </w:tblBorders>
      </w:tblPr>
      <w:tblGrid>
        <w:gridCol w:w="3249"/>
        <w:gridCol w:w="3249"/>
        <w:gridCol w:w="3249"/>
      </w:tblGrid>
      <w:tr>
        <w:tc>
          <w:tcPr>
            <w:tcW w:type="dxa" w:w="1701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3175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Situação observada</w:t>
            </w:r>
          </w:p>
        </w:tc>
        <w:tc>
          <w:tcPr>
            <w:tcW w:type="dxa" w:w="3402"/>
            <w:shd w:fill="DCE6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Decisão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Mercado ‘equipa favorita’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 UI não explicita quem é a equipa favorita.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 prática, executar manualmente como ‘Napoli Over 1.5’ / ‘Leipzig Over 1.5’. Mais tarde, a UI deve explicitar a equipa.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Mercados na v11.5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Mercado ainda vem de lógica heurística.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Aceitar para validação operacional; não usar como benchmark final de inteligência.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Odds e edge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Edge ainda não vem de probabilidade derivada de indicadores próprios.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Este gap será resolvido na linha v12.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Chat pesado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Muito contexto acumulado.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Criar documentação paralela e preparar eventual migração de chat.</w:t>
            </w:r>
          </w:p>
        </w:tc>
      </w:tr>
    </w:tbl>
    <w:p/>
    <w:p>
      <w:pPr>
        <w:pStyle w:val="SectionStyle"/>
      </w:pPr>
      <w:r>
        <w:t>8. O que falta fazer antes de a v12 entrar como linha principal</w:t>
      </w:r>
    </w:p>
    <w:p>
      <w:pPr>
        <w:ind w:left="170" w:hanging="113"/>
      </w:pPr>
      <w:r>
        <w:rPr>
          <w:b/>
        </w:rPr>
        <w:t xml:space="preserve">• </w:t>
      </w:r>
      <w:r>
        <w:t>Fechar a validação operacional da v11.5 com 50 apostas ou com uma amostra suficientemente instrutiva.</w:t>
      </w:r>
    </w:p>
    <w:p>
      <w:pPr>
        <w:ind w:left="170" w:hanging="113"/>
      </w:pPr>
      <w:r>
        <w:rPr>
          <w:b/>
        </w:rPr>
        <w:t xml:space="preserve">• </w:t>
      </w:r>
      <w:r>
        <w:t>Conservar o histórico da v11.5 como baseline comparativa.</w:t>
      </w:r>
    </w:p>
    <w:p>
      <w:pPr>
        <w:ind w:left="170" w:hanging="113"/>
      </w:pPr>
      <w:r>
        <w:rPr>
          <w:b/>
        </w:rPr>
        <w:t xml:space="preserve">• </w:t>
      </w:r>
      <w:r>
        <w:t>Separar mentalmente e tecnicamente a linha v11.5 (operação) da linha v12 (desenvolvimento do motor).</w:t>
      </w:r>
    </w:p>
    <w:p>
      <w:pPr>
        <w:ind w:left="170" w:hanging="113"/>
      </w:pPr>
      <w:r>
        <w:rPr>
          <w:b/>
        </w:rPr>
        <w:t xml:space="preserve">• </w:t>
      </w:r>
      <w:r>
        <w:t>Usar a experiência da v11.5 para detetar problemas de execução, não para reescrever o modelo à pressa.</w:t>
      </w:r>
    </w:p>
    <w:p>
      <w:pPr>
        <w:pStyle w:val="SectionStyle"/>
      </w:pPr>
      <w:r>
        <w:t>9. O que já está pensado para a v12</w:t>
      </w:r>
    </w:p>
    <w:p>
      <w:pPr>
        <w:ind w:left="170" w:hanging="113"/>
      </w:pPr>
      <w:r>
        <w:rPr>
          <w:b/>
        </w:rPr>
        <w:t xml:space="preserve">• </w:t>
      </w:r>
      <w:r>
        <w:t>Construção em paralelo, sem tocar na v11.5.</w:t>
      </w:r>
    </w:p>
    <w:p>
      <w:pPr>
        <w:ind w:left="170" w:hanging="113"/>
      </w:pPr>
      <w:r>
        <w:rPr>
          <w:b/>
        </w:rPr>
        <w:t xml:space="preserve">• </w:t>
      </w:r>
      <w:r>
        <w:t>Step 1: TSI e DCI por jogo real do dia, apresentados em grelha simples e auditável.</w:t>
      </w:r>
    </w:p>
    <w:p>
      <w:pPr>
        <w:ind w:left="170" w:hanging="113"/>
      </w:pPr>
      <w:r>
        <w:rPr>
          <w:b/>
        </w:rPr>
        <w:t xml:space="preserve">• </w:t>
      </w:r>
      <w:r>
        <w:t>Step 2: conversão de TSI/DCI em probabilidades por mercado.</w:t>
      </w:r>
    </w:p>
    <w:p>
      <w:pPr>
        <w:ind w:left="170" w:hanging="113"/>
      </w:pPr>
      <w:r>
        <w:rPr>
          <w:b/>
        </w:rPr>
        <w:t xml:space="preserve">• </w:t>
      </w:r>
      <w:r>
        <w:t>Step 3: odd justa e edge automáticos.</w:t>
      </w:r>
    </w:p>
    <w:p>
      <w:pPr>
        <w:ind w:left="170" w:hanging="113"/>
      </w:pPr>
      <w:r>
        <w:rPr>
          <w:b/>
        </w:rPr>
        <w:t xml:space="preserve">• </w:t>
      </w:r>
      <w:r>
        <w:t>Step 4: escolha do melhor mercado por jogo.</w:t>
      </w:r>
    </w:p>
    <w:p>
      <w:pPr>
        <w:ind w:left="170" w:hanging="113"/>
      </w:pPr>
      <w:r>
        <w:rPr>
          <w:b/>
        </w:rPr>
        <w:t xml:space="preserve">• </w:t>
      </w:r>
      <w:r>
        <w:t>Step 5: explicação curta da pick.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color="355C8A" w:space="0"/>
          <w:left w:val="single" w:sz="10" w:color="355C8A" w:space="0"/>
          <w:bottom w:val="single" w:sz="10" w:color="355C8A" w:space="0"/>
          <w:right w:val="single" w:sz="10" w:color="355C8A" w:space="0"/>
          <w:insideH w:val="single" w:sz="10" w:color="355C8A" w:space="0"/>
          <w:insideV w:val="single" w:sz="10" w:color="355C8A" w:space="0"/>
        </w:tblBorders>
      </w:tblPr>
      <w:tblGrid>
        <w:gridCol w:w="9746"/>
      </w:tblGrid>
      <w:tr>
        <w:tc>
          <w:tcPr>
            <w:tcW w:type="dxa" w:w="9746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355C8A"/>
                <w:sz w:val="21"/>
              </w:rPr>
              <w:t>Importante</w:t>
              <w:br/>
            </w:r>
            <w:r>
              <w:rPr>
                <w:sz w:val="20"/>
              </w:rPr>
              <w:t>A v12 não é uma continuação desorganizada da v11. É uma nova camada de inteligência construída em paralelo. A v11.5 prova operação; a v12 vai provar raciocínio.</w:t>
            </w:r>
          </w:p>
        </w:tc>
      </w:tr>
    </w:tbl>
    <w:p/>
    <w:p>
      <w:pPr>
        <w:pStyle w:val="SectionStyle"/>
      </w:pPr>
      <w:r>
        <w:t>10. Ideias estratégicas guardadas para o futuro</w:t>
      </w:r>
    </w:p>
    <w:p>
      <w:pPr>
        <w:ind w:left="170" w:hanging="113"/>
      </w:pPr>
      <w:r>
        <w:rPr>
          <w:b/>
        </w:rPr>
        <w:t xml:space="preserve">• </w:t>
      </w:r>
      <w:r>
        <w:t>Probabilidade por mercado como feature central do sistema.</w:t>
      </w:r>
    </w:p>
    <w:p>
      <w:pPr>
        <w:ind w:left="170" w:hanging="113"/>
      </w:pPr>
      <w:r>
        <w:rPr>
          <w:b/>
        </w:rPr>
        <w:t xml:space="preserve">• </w:t>
      </w:r>
      <w:r>
        <w:t>Curva multi-linha de golos (avaliar várias linhas no backend, mostrar só o melhor no frontend).</w:t>
      </w:r>
    </w:p>
    <w:p>
      <w:pPr>
        <w:ind w:left="170" w:hanging="113"/>
      </w:pPr>
      <w:r>
        <w:rPr>
          <w:b/>
        </w:rPr>
        <w:t xml:space="preserve">• </w:t>
      </w:r>
      <w:r>
        <w:t>Explicabilidade curta da pick: porque este mercado e não outro.</w:t>
      </w:r>
    </w:p>
    <w:p>
      <w:pPr>
        <w:ind w:left="170" w:hanging="113"/>
      </w:pPr>
      <w:r>
        <w:rPr>
          <w:b/>
        </w:rPr>
        <w:t xml:space="preserve">• </w:t>
      </w:r>
      <w:r>
        <w:t>Aproveitar benchmarking de outras plataformas, mas só absorvendo o que reforça a identidade do ABC PRO.</w:t>
      </w:r>
    </w:p>
    <w:p>
      <w:pPr>
        <w:ind w:left="170" w:hanging="113"/>
      </w:pPr>
      <w:r>
        <w:rPr>
          <w:b/>
        </w:rPr>
        <w:t xml:space="preserve">• </w:t>
      </w:r>
      <w:r>
        <w:t>Possível migração para ambiente web apenas numa fase madura (v20+), se houver edge validado e necessidade real de escala.</w:t>
      </w:r>
    </w:p>
    <w:p>
      <w:pPr>
        <w:pStyle w:val="SectionStyle"/>
      </w:pPr>
      <w:r>
        <w:t>11. Regras para migração de contexto para outro chat</w:t>
      </w:r>
    </w:p>
    <w:p>
      <w:pPr>
        <w:ind w:left="170" w:hanging="113"/>
      </w:pPr>
      <w:r>
        <w:rPr>
          <w:b/>
        </w:rPr>
        <w:t xml:space="preserve">• </w:t>
      </w:r>
      <w:r>
        <w:t>Levar o ZIP da versão ativa (v11.5), os documentos técnicos e os ficheiros de tracking.</w:t>
      </w:r>
    </w:p>
    <w:p>
      <w:pPr>
        <w:ind w:left="170" w:hanging="113"/>
      </w:pPr>
      <w:r>
        <w:rPr>
          <w:b/>
        </w:rPr>
        <w:t xml:space="preserve">• </w:t>
      </w:r>
      <w:r>
        <w:t>No novo chat, começar por anexar a versão ativa e o documento orientador, para restaurar o contexto sem depender do histórico antigo.</w:t>
      </w:r>
    </w:p>
    <w:p>
      <w:pPr>
        <w:ind w:left="170" w:hanging="113"/>
      </w:pPr>
      <w:r>
        <w:rPr>
          <w:b/>
        </w:rPr>
        <w:t xml:space="preserve">• </w:t>
      </w:r>
      <w:r>
        <w:t>Usar este documento como mapa do que já foi feito e do que ainda falta.</w:t>
      </w:r>
    </w:p>
    <w:p>
      <w:pPr>
        <w:pStyle w:val="SectionStyle"/>
      </w:pPr>
      <w:r>
        <w:t>12. Próxima ação recomendada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color="355C8A" w:space="0"/>
          <w:left w:val="single" w:sz="10" w:color="355C8A" w:space="0"/>
          <w:bottom w:val="single" w:sz="10" w:color="355C8A" w:space="0"/>
          <w:right w:val="single" w:sz="10" w:color="355C8A" w:space="0"/>
          <w:insideH w:val="single" w:sz="10" w:color="355C8A" w:space="0"/>
          <w:insideV w:val="single" w:sz="10" w:color="355C8A" w:space="0"/>
        </w:tblBorders>
      </w:tblPr>
      <w:tblGrid>
        <w:gridCol w:w="9746"/>
      </w:tblGrid>
      <w:tr>
        <w:tc>
          <w:tcPr>
            <w:tcW w:type="dxa" w:w="9746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355C8A"/>
                <w:sz w:val="21"/>
              </w:rPr>
              <w:t>Plano imediato</w:t>
              <w:br/>
            </w:r>
            <w:r>
              <w:rPr>
                <w:sz w:val="20"/>
              </w:rPr>
              <w:t>Continuar a validação da v11.5 aqui, se o chat aguentar, até pelo menos ao primeiro checkpoint significativo. Em paralelo, manter a documentação pronta. Se houver necessidade de migrar, a continuidade do projeto fica protegida.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spacing w:after="60"/>
    </w:pPr>
    <w:rPr>
      <w:rFonts w:ascii="Aptos" w:hAnsi="Aptos"/>
      <w:b/>
      <w:color w:val="1F3A5F"/>
      <w:sz w:val="44"/>
    </w:rPr>
  </w:style>
  <w:style w:type="paragraph" w:customStyle="1" w:styleId="SubtitleStyle">
    <w:name w:val="SubtitleStyle"/>
    <w:basedOn w:val="Normal"/>
    <w:pPr>
      <w:spacing w:after="60"/>
    </w:pPr>
    <w:rPr>
      <w:rFonts w:ascii="Aptos" w:hAnsi="Aptos"/>
      <w:b w:val="0"/>
      <w:color w:val="5D6B82"/>
      <w:sz w:val="22"/>
    </w:rPr>
  </w:style>
  <w:style w:type="paragraph" w:customStyle="1" w:styleId="SectionStyle">
    <w:name w:val="SectionStyle"/>
    <w:basedOn w:val="Normal"/>
    <w:pPr>
      <w:spacing w:before="200" w:after="80"/>
    </w:pPr>
    <w:rPr>
      <w:rFonts w:ascii="Aptos" w:hAnsi="Aptos"/>
      <w:b/>
      <w:color w:val="1F3A5F"/>
      <w:sz w:val="28"/>
    </w:rPr>
  </w:style>
  <w:style w:type="paragraph" w:customStyle="1" w:styleId="SubsectionStyle">
    <w:name w:val="SubsectionStyle"/>
    <w:basedOn w:val="Normal"/>
    <w:pPr>
      <w:spacing w:before="200" w:after="80"/>
    </w:pPr>
    <w:rPr>
      <w:rFonts w:ascii="Aptos" w:hAnsi="Aptos"/>
      <w:b/>
      <w:color w:val="355C8A"/>
      <w:sz w:val="23"/>
    </w:rPr>
  </w:style>
  <w:style w:type="paragraph" w:customStyle="1" w:styleId="SmallStyle">
    <w:name w:val="SmallStyle"/>
    <w:basedOn w:val="Normal"/>
    <w:pPr>
      <w:spacing w:after="60"/>
    </w:pPr>
    <w:rPr>
      <w:rFonts w:ascii="Aptos" w:hAnsi="Aptos"/>
      <w:b w:val="0"/>
      <w:color w:val="5D6B8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