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B53" w:rsidRPr="00F66A06" w:rsidRDefault="00A93B53" w:rsidP="00A93B53">
      <w:pPr>
        <w:pStyle w:val="Ttulo"/>
      </w:pPr>
      <w:bookmarkStart w:id="0" w:name="_Toc422525603"/>
      <w:bookmarkStart w:id="1" w:name="_Toc444109676"/>
      <w:r w:rsidRPr="00F66A06">
        <w:t>Hi</w:t>
      </w:r>
      <w:bookmarkStart w:id="2" w:name="_GoBack"/>
      <w:bookmarkEnd w:id="2"/>
      <w:r w:rsidRPr="00F66A06">
        <w:t>pertensão</w:t>
      </w:r>
      <w:bookmarkEnd w:id="0"/>
      <w:bookmarkEnd w:id="1"/>
    </w:p>
    <w:p w:rsidR="00A93B53" w:rsidRPr="00F66A06" w:rsidRDefault="00A93B53" w:rsidP="00A93B53">
      <w:pPr>
        <w:pStyle w:val="Ttulo1"/>
      </w:pPr>
      <w:bookmarkStart w:id="3" w:name="_Toc340647303"/>
      <w:bookmarkStart w:id="4" w:name="_Toc382865746"/>
      <w:bookmarkStart w:id="5" w:name="_Toc382866025"/>
      <w:bookmarkStart w:id="6" w:name="_Toc422524118"/>
      <w:bookmarkStart w:id="7" w:name="_Toc422525604"/>
      <w:bookmarkStart w:id="8" w:name="_Toc444109677"/>
      <w:r w:rsidRPr="00F66A06">
        <w:t>Introdução</w:t>
      </w:r>
      <w:bookmarkEnd w:id="3"/>
      <w:bookmarkEnd w:id="4"/>
      <w:bookmarkEnd w:id="5"/>
      <w:bookmarkEnd w:id="6"/>
      <w:bookmarkEnd w:id="7"/>
      <w:bookmarkEnd w:id="8"/>
    </w:p>
    <w:p w:rsidR="00A93B53" w:rsidRPr="00F66A06" w:rsidRDefault="00A93B53" w:rsidP="00A93B53"/>
    <w:p w:rsidR="00A93B53" w:rsidRPr="00F66A06" w:rsidRDefault="00A93B53" w:rsidP="00A93B53">
      <w:r w:rsidRPr="00F66A06">
        <w:t xml:space="preserve">A Hipertensão Arterial é uma patologia comum, sendo que na maioria dos utentes a </w:t>
      </w:r>
      <w:proofErr w:type="spellStart"/>
      <w:r w:rsidRPr="00F66A06">
        <w:t>correcta</w:t>
      </w:r>
      <w:proofErr w:type="spellEnd"/>
      <w:r w:rsidRPr="00F66A06">
        <w:t xml:space="preserve"> avaliação da pressão arterial, história clínica </w:t>
      </w:r>
      <w:proofErr w:type="spellStart"/>
      <w:r w:rsidRPr="00F66A06">
        <w:t>direccionada</w:t>
      </w:r>
      <w:proofErr w:type="spellEnd"/>
      <w:r w:rsidRPr="00F66A06">
        <w:t xml:space="preserve"> e exame </w:t>
      </w:r>
      <w:proofErr w:type="spellStart"/>
      <w:r w:rsidRPr="00F66A06">
        <w:t>objectivo</w:t>
      </w:r>
      <w:proofErr w:type="spellEnd"/>
      <w:r w:rsidRPr="00F66A06">
        <w:t xml:space="preserve"> complementado com alguns exames básicos é suficiente. </w:t>
      </w:r>
    </w:p>
    <w:p w:rsidR="00A93B53" w:rsidRPr="00F66A06" w:rsidRDefault="00A93B53" w:rsidP="00A93B53"/>
    <w:p w:rsidR="00A93B53" w:rsidRPr="00F66A06" w:rsidRDefault="002D37EF" w:rsidP="00A93B53">
      <w:pPr>
        <w:pStyle w:val="Ttulo1"/>
      </w:pPr>
      <w:r>
        <w:t>População Alvo</w:t>
      </w:r>
    </w:p>
    <w:p w:rsidR="00DE4C7E" w:rsidRDefault="002D37EF" w:rsidP="00A93B53">
      <w:r>
        <w:t>Utentes com o diagnóstico de Hipertensão Arterial inscritos na USF Tempo de Cuidar.</w:t>
      </w:r>
    </w:p>
    <w:p w:rsidR="00DE4C7E" w:rsidRDefault="00DE4C7E" w:rsidP="00A93B53"/>
    <w:p w:rsidR="00DE4C7E" w:rsidRDefault="00DE4C7E" w:rsidP="00DE4C7E">
      <w:pPr>
        <w:pStyle w:val="Ttulo1"/>
      </w:pPr>
      <w:r>
        <w:t>Gestores</w:t>
      </w:r>
    </w:p>
    <w:p w:rsidR="00A93B53" w:rsidRPr="00F66A06" w:rsidRDefault="002D37EF" w:rsidP="00A93B53">
      <w:r>
        <w:tab/>
      </w:r>
      <w:proofErr w:type="spellStart"/>
      <w:r w:rsidR="00DE4C7E" w:rsidRPr="00DE4C7E">
        <w:t>Drª</w:t>
      </w:r>
      <w:proofErr w:type="spellEnd"/>
      <w:r w:rsidR="00DE4C7E" w:rsidRPr="00DE4C7E">
        <w:t xml:space="preserve"> Martina </w:t>
      </w:r>
      <w:proofErr w:type="spellStart"/>
      <w:r w:rsidR="00DE4C7E" w:rsidRPr="00DE4C7E">
        <w:t>Husgen</w:t>
      </w:r>
      <w:proofErr w:type="spellEnd"/>
      <w:r w:rsidR="00DE4C7E" w:rsidRPr="00DE4C7E">
        <w:t xml:space="preserve">; </w:t>
      </w:r>
      <w:proofErr w:type="spellStart"/>
      <w:r w:rsidR="00DE4C7E" w:rsidRPr="00DE4C7E">
        <w:t>Enfª</w:t>
      </w:r>
      <w:proofErr w:type="spellEnd"/>
      <w:r w:rsidR="00DE4C7E" w:rsidRPr="00DE4C7E">
        <w:t xml:space="preserve"> Sandra Silva; SC Gabriela Barbosa</w:t>
      </w:r>
    </w:p>
    <w:p w:rsidR="00F4485B" w:rsidRDefault="00F4485B">
      <w:pPr>
        <w:autoSpaceDE/>
        <w:autoSpaceDN/>
        <w:adjustRightInd/>
        <w:spacing w:after="0" w:line="240" w:lineRule="auto"/>
        <w:ind w:firstLine="0"/>
        <w:jc w:val="left"/>
        <w:rPr>
          <w:rFonts w:cs="Times New Roman"/>
          <w:caps/>
          <w:color w:val="632423"/>
          <w:spacing w:val="20"/>
          <w:sz w:val="28"/>
          <w:szCs w:val="28"/>
        </w:rPr>
      </w:pPr>
      <w:bookmarkStart w:id="9" w:name="_Toc444109666"/>
      <w:r>
        <w:br w:type="page"/>
      </w:r>
    </w:p>
    <w:p w:rsidR="002D37EF" w:rsidRPr="00F66A06" w:rsidRDefault="002D37EF" w:rsidP="002D37EF">
      <w:pPr>
        <w:pStyle w:val="Ttulo1"/>
      </w:pPr>
      <w:r w:rsidRPr="00F66A06">
        <w:lastRenderedPageBreak/>
        <w:t>ProcedimentoS</w:t>
      </w:r>
      <w:bookmarkEnd w:id="9"/>
    </w:p>
    <w:p w:rsidR="002D37EF" w:rsidRPr="00F66A06" w:rsidRDefault="002D37EF" w:rsidP="002D37EF">
      <w:pPr>
        <w:pStyle w:val="Ttulo2"/>
      </w:pPr>
      <w:r w:rsidRPr="00F66A06">
        <w:t>Secretário Clínico</w:t>
      </w:r>
    </w:p>
    <w:p w:rsidR="002D37EF" w:rsidRPr="00F66A06" w:rsidRDefault="002D37EF" w:rsidP="002D37EF">
      <w:r w:rsidRPr="00F66A06">
        <w:t xml:space="preserve">Agendar as consultas no período destinado para </w:t>
      </w:r>
      <w:r>
        <w:t>Hipertensão Arterial / Risco Cardiovascular</w:t>
      </w:r>
      <w:r w:rsidRPr="00F66A06">
        <w:t xml:space="preserve"> para o respetivo médico de família e enfermeiro de família;</w:t>
      </w:r>
    </w:p>
    <w:p w:rsidR="002D37EF" w:rsidRPr="00F66A06" w:rsidRDefault="002D37EF" w:rsidP="002D37EF">
      <w:r w:rsidRPr="00F66A06">
        <w:t>Proceder à ativação da consulta aquando da chegada do utente;</w:t>
      </w:r>
    </w:p>
    <w:p w:rsidR="002D37EF" w:rsidRPr="00F66A06" w:rsidRDefault="002D37EF" w:rsidP="002D37EF">
      <w:r w:rsidRPr="00F66A06">
        <w:t>Verificar as faltas para proceder à convocação dos utentes faltosos;</w:t>
      </w:r>
    </w:p>
    <w:p w:rsidR="002D37EF" w:rsidRPr="00F66A06" w:rsidRDefault="002D37EF" w:rsidP="002D37EF">
      <w:r w:rsidRPr="00F66A06">
        <w:t>Convocar as utentes sempre que o médico/enfermeiro considere necessário.</w:t>
      </w:r>
    </w:p>
    <w:p w:rsidR="002D37EF" w:rsidRPr="00F66A06" w:rsidRDefault="002D37EF" w:rsidP="002D37EF"/>
    <w:p w:rsidR="002D37EF" w:rsidRPr="00F66A06" w:rsidRDefault="002D37EF" w:rsidP="002D37EF">
      <w:pPr>
        <w:pStyle w:val="Ttulo2"/>
      </w:pPr>
      <w:r w:rsidRPr="00F66A06">
        <w:t>Enfermeiro</w:t>
      </w:r>
    </w:p>
    <w:p w:rsidR="002D37EF" w:rsidRPr="00F66A06" w:rsidRDefault="002D37EF" w:rsidP="002D37EF">
      <w:r w:rsidRPr="00F66A06">
        <w:t xml:space="preserve">Efetuar registos de enfermagem na aplicação informática </w:t>
      </w:r>
      <w:proofErr w:type="spellStart"/>
      <w:r>
        <w:t>SClinico</w:t>
      </w:r>
      <w:proofErr w:type="spellEnd"/>
      <w:r w:rsidRPr="00F66A06">
        <w:t xml:space="preserve"> (segundo a classificação CIPE).</w:t>
      </w:r>
    </w:p>
    <w:p w:rsidR="002D37EF" w:rsidRPr="00F66A06" w:rsidRDefault="002D37EF" w:rsidP="002D37EF">
      <w:r w:rsidRPr="00F66A06">
        <w:t>Colheita de dados para preenchimento da avaliação inicial;</w:t>
      </w:r>
    </w:p>
    <w:p w:rsidR="002D37EF" w:rsidRPr="00F66A06" w:rsidRDefault="002D37EF" w:rsidP="002D37EF">
      <w:r w:rsidRPr="00F66A06">
        <w:t>Monitorizar tensão arterial (TA), peso, índice de massa corporal (IMC) e perímetro abdominal;</w:t>
      </w:r>
    </w:p>
    <w:p w:rsidR="002D37EF" w:rsidRPr="00F66A06" w:rsidRDefault="002D37EF" w:rsidP="002D37EF">
      <w:r w:rsidRPr="00F66A06">
        <w:t>Supervisionar a adesão à vacinação;</w:t>
      </w:r>
    </w:p>
    <w:p w:rsidR="002D37EF" w:rsidRPr="00F66A06" w:rsidRDefault="002D37EF" w:rsidP="002D37EF">
      <w:r w:rsidRPr="00F66A06">
        <w:t>Informar sobre o rastreio oncológico, verificar se está atualizado, segundo as normas da Direcção-Geral da Saúde (DGS);</w:t>
      </w:r>
    </w:p>
    <w:p w:rsidR="002D37EF" w:rsidRPr="00F66A06" w:rsidRDefault="002D37EF" w:rsidP="002D37EF">
      <w:r w:rsidRPr="00F66A06">
        <w:t>Identificar os diagnósticos de enfermagem e respetivas intervenções do tipo informar, ensinar, orientar, treinar e instruir segundo a classificação CIPE, consoante a necessidade da/o utente;</w:t>
      </w:r>
    </w:p>
    <w:p w:rsidR="002D37EF" w:rsidRPr="00F66A06" w:rsidRDefault="00E451C2" w:rsidP="00E451C2">
      <w:r>
        <w:t>Planear próxima consulta em articulação com MF</w:t>
      </w:r>
    </w:p>
    <w:p w:rsidR="002D37EF" w:rsidRPr="00F66A06" w:rsidRDefault="002D37EF" w:rsidP="002D37EF">
      <w:pPr>
        <w:pStyle w:val="Ttulo2"/>
      </w:pPr>
      <w:r w:rsidRPr="00F66A06">
        <w:t>Médico</w:t>
      </w:r>
    </w:p>
    <w:p w:rsidR="002D37EF" w:rsidRPr="00F66A06" w:rsidRDefault="00E451C2" w:rsidP="002D37EF">
      <w:r>
        <w:t xml:space="preserve">Registos no </w:t>
      </w:r>
      <w:proofErr w:type="spellStart"/>
      <w:r>
        <w:t>SClinico</w:t>
      </w:r>
      <w:proofErr w:type="spellEnd"/>
      <w:r w:rsidR="002D37EF" w:rsidRPr="00F66A06">
        <w:t xml:space="preserve"> através do programa de </w:t>
      </w:r>
      <w:proofErr w:type="spellStart"/>
      <w:r>
        <w:t>Hipertensao</w:t>
      </w:r>
      <w:proofErr w:type="spellEnd"/>
      <w:r w:rsidR="002D37EF" w:rsidRPr="00F66A06">
        <w:t>;</w:t>
      </w:r>
    </w:p>
    <w:p w:rsidR="002D37EF" w:rsidRPr="00F66A06" w:rsidRDefault="002D37EF" w:rsidP="002D37EF">
      <w:r w:rsidRPr="00F66A06">
        <w:t>Referir se é ou não vigiado na USF;</w:t>
      </w:r>
    </w:p>
    <w:p w:rsidR="002D37EF" w:rsidRPr="00F66A06" w:rsidRDefault="002D37EF" w:rsidP="002D37EF">
      <w:r w:rsidRPr="00F66A06">
        <w:t>Colher dados para elaborar a história clínica;</w:t>
      </w:r>
    </w:p>
    <w:p w:rsidR="002D37EF" w:rsidRPr="00F66A06" w:rsidRDefault="002D37EF" w:rsidP="002D37EF">
      <w:r w:rsidRPr="00F66A06">
        <w:t xml:space="preserve">Realizar exame físico </w:t>
      </w:r>
      <w:r w:rsidR="00E451C2">
        <w:t>dirigido</w:t>
      </w:r>
      <w:r w:rsidRPr="00F66A06">
        <w:t>;</w:t>
      </w:r>
    </w:p>
    <w:p w:rsidR="002D37EF" w:rsidRPr="00F66A06" w:rsidRDefault="002D37EF" w:rsidP="002D37EF">
      <w:r w:rsidRPr="00F66A06">
        <w:t>Realizar consultas de vigilância (</w:t>
      </w:r>
      <w:r w:rsidR="00E451C2">
        <w:t>adesão à terapêutica e mudanças de estilos de vida</w:t>
      </w:r>
      <w:r w:rsidRPr="00F66A06">
        <w:t>, detetar possíveis complicações ou efeitos adversos</w:t>
      </w:r>
      <w:r w:rsidR="00E451C2">
        <w:t xml:space="preserve"> da mesma</w:t>
      </w:r>
      <w:r w:rsidRPr="00F66A06">
        <w:t>);</w:t>
      </w:r>
    </w:p>
    <w:p w:rsidR="002D37EF" w:rsidRDefault="00E451C2" w:rsidP="002D37EF">
      <w:r>
        <w:lastRenderedPageBreak/>
        <w:t>Planear consultas de seguimento em articulação com EF.</w:t>
      </w:r>
    </w:p>
    <w:p w:rsidR="00F4485B" w:rsidRPr="00D45A3F" w:rsidRDefault="00F4485B" w:rsidP="00F4485B">
      <w:pPr>
        <w:pStyle w:val="Ttulo1"/>
      </w:pPr>
      <w:r>
        <w:t>Plano de Cuidados</w:t>
      </w:r>
    </w:p>
    <w:p w:rsidR="00F4485B" w:rsidRDefault="00F4485B" w:rsidP="00F4485B">
      <w:r>
        <w:t xml:space="preserve">Na situação do utente controlado preconiza-se avaliação semestral médica e de enfermagem que, poderão ocorrer ou não em simultâneo, de acordo com o plano individual de cuidados estabelecido para cada utente. Este plano é </w:t>
      </w:r>
      <w:proofErr w:type="spellStart"/>
      <w:r>
        <w:t>actualizado</w:t>
      </w:r>
      <w:proofErr w:type="spellEnd"/>
      <w:r>
        <w:t xml:space="preserve"> em cada contacto com o utente, de acordo com a opinião da equipa de cuidados, </w:t>
      </w:r>
      <w:proofErr w:type="spellStart"/>
      <w:r>
        <w:t>optimizando-se</w:t>
      </w:r>
      <w:proofErr w:type="spellEnd"/>
      <w:r>
        <w:t xml:space="preserve"> o contacto do utente com a unidade.</w:t>
      </w:r>
    </w:p>
    <w:p w:rsidR="00F4485B" w:rsidRPr="00F66A06" w:rsidRDefault="00F4485B" w:rsidP="002D37EF"/>
    <w:p w:rsidR="002D37EF" w:rsidRDefault="002D37EF" w:rsidP="002D37EF"/>
    <w:p w:rsidR="00A93B53" w:rsidRPr="00F66A06" w:rsidRDefault="00A93B53" w:rsidP="00A93B53"/>
    <w:p w:rsidR="002D37EF" w:rsidRDefault="002D37EF">
      <w:pPr>
        <w:autoSpaceDE/>
        <w:autoSpaceDN/>
        <w:adjustRightInd/>
        <w:spacing w:after="0" w:line="240" w:lineRule="auto"/>
        <w:ind w:firstLine="0"/>
        <w:jc w:val="left"/>
        <w:rPr>
          <w:rFonts w:cs="Times New Roman"/>
          <w:caps/>
          <w:color w:val="632423"/>
          <w:spacing w:val="20"/>
          <w:sz w:val="28"/>
          <w:szCs w:val="28"/>
        </w:rPr>
      </w:pPr>
      <w:bookmarkStart w:id="10" w:name="_Toc340647305"/>
      <w:bookmarkStart w:id="11" w:name="_Toc382865748"/>
      <w:bookmarkStart w:id="12" w:name="_Toc382866027"/>
      <w:bookmarkStart w:id="13" w:name="_Toc422524120"/>
      <w:bookmarkStart w:id="14" w:name="_Toc422525606"/>
      <w:bookmarkStart w:id="15" w:name="_Toc444109679"/>
      <w:r>
        <w:br w:type="page"/>
      </w:r>
    </w:p>
    <w:p w:rsidR="00A93B53" w:rsidRPr="00F66A06" w:rsidRDefault="00A93B53" w:rsidP="00A93B53">
      <w:pPr>
        <w:pStyle w:val="Ttulo1"/>
      </w:pPr>
      <w:r w:rsidRPr="00F66A06">
        <w:lastRenderedPageBreak/>
        <w:t>Avaliação da Tensão Arterial</w:t>
      </w:r>
      <w:bookmarkEnd w:id="10"/>
      <w:bookmarkEnd w:id="11"/>
      <w:bookmarkEnd w:id="12"/>
      <w:bookmarkEnd w:id="13"/>
      <w:bookmarkEnd w:id="14"/>
      <w:bookmarkEnd w:id="15"/>
    </w:p>
    <w:p w:rsidR="00A93B53" w:rsidRPr="00F66A06" w:rsidRDefault="00A93B53" w:rsidP="00A93B53">
      <w:r w:rsidRPr="00F66A06">
        <w:t xml:space="preserve">A técnica adequada é importante na avaliação da PA: a tensão arterial deve ser avaliada com o indivíduo sentado, em ambiente calmo, homeotérmico, sem poluição sonora ou luminosa e sem ingestão ou inalação de produtos excitantes (bebidas com cafeína, álcool, tabaco, etc.) no período imediatamente antecedente (15-30 minutos). Deve ser </w:t>
      </w:r>
      <w:proofErr w:type="spellStart"/>
      <w:r w:rsidRPr="00F66A06">
        <w:t>efectuada</w:t>
      </w:r>
      <w:proofErr w:type="spellEnd"/>
      <w:r w:rsidRPr="00F66A06">
        <w:t xml:space="preserve"> acima da região do sangradouro com aparelho aferido, usando uma braçadeira em que a câmara insuflável ocupe entre metade e 80% do diâmetro do braço. Determinações em decúbito (após três ou mais minutos) e de pé (no primeiro minuto após o ortostatismo) são por vezes necessárias particularmente nos idosos, diabéticos e sempre se suspeite de </w:t>
      </w:r>
      <w:proofErr w:type="spellStart"/>
      <w:r w:rsidRPr="00F66A06">
        <w:t>disautonomia</w:t>
      </w:r>
      <w:proofErr w:type="spellEnd"/>
      <w:r w:rsidRPr="00F66A06">
        <w:t>. É ainda necessária a realização de duas avaliações separadas por alguns minutos, pelo menos na primeira abordagem e complementadas por nova avaliação em 2 a 4 semanas.</w:t>
      </w:r>
    </w:p>
    <w:p w:rsidR="00A93B53" w:rsidRPr="00F66A06" w:rsidRDefault="00A93B53" w:rsidP="00A93B53">
      <w:r w:rsidRPr="00F66A06">
        <w:t xml:space="preserve">Os valores da tensão arterial devem ser flexíveis com a finalidade de calcular o risco, visto que não apenas mudam dia a dia como, além disso, a avaliação final depende em grande medida dos </w:t>
      </w:r>
      <w:proofErr w:type="spellStart"/>
      <w:r w:rsidRPr="00F66A06">
        <w:t>factores</w:t>
      </w:r>
      <w:proofErr w:type="spellEnd"/>
      <w:r w:rsidRPr="00F66A06">
        <w:t xml:space="preserve"> de risco concomitantes.</w:t>
      </w:r>
    </w:p>
    <w:p w:rsidR="00A93B53" w:rsidRPr="00F66A06" w:rsidRDefault="00A93B53" w:rsidP="00A93B53"/>
    <w:p w:rsidR="00A93B53" w:rsidRPr="00F66A06" w:rsidRDefault="00A93B53" w:rsidP="00A93B53">
      <w:pPr>
        <w:pStyle w:val="Ttulo1"/>
      </w:pPr>
      <w:bookmarkStart w:id="16" w:name="_Toc340647306"/>
      <w:bookmarkStart w:id="17" w:name="_Toc382865749"/>
      <w:bookmarkStart w:id="18" w:name="_Toc382866028"/>
      <w:bookmarkStart w:id="19" w:name="_Toc422524121"/>
      <w:bookmarkStart w:id="20" w:name="_Toc422525607"/>
      <w:bookmarkStart w:id="21" w:name="_Toc444109680"/>
      <w:r w:rsidRPr="00F66A06">
        <w:t>Classificação</w:t>
      </w:r>
      <w:bookmarkEnd w:id="16"/>
      <w:bookmarkEnd w:id="17"/>
      <w:bookmarkEnd w:id="18"/>
      <w:bookmarkEnd w:id="19"/>
      <w:bookmarkEnd w:id="20"/>
      <w:bookmarkEnd w:id="21"/>
    </w:p>
    <w:p w:rsidR="00A93B53" w:rsidRPr="00F66A06" w:rsidRDefault="00A93B53" w:rsidP="00A93B53">
      <w:r w:rsidRPr="00F66A06">
        <w:t xml:space="preserve">TA </w:t>
      </w:r>
      <w:proofErr w:type="spellStart"/>
      <w:r w:rsidRPr="00F66A06">
        <w:t>óptima</w:t>
      </w:r>
      <w:proofErr w:type="spellEnd"/>
      <w:r w:rsidRPr="00F66A06">
        <w:t xml:space="preserve"> (&lt; 120/80 mm Hg, não há evidências de redução de risco abaixo desses níveis)</w:t>
      </w:r>
    </w:p>
    <w:p w:rsidR="00A93B53" w:rsidRPr="00F66A06" w:rsidRDefault="00A93B53" w:rsidP="00A93B53">
      <w:r w:rsidRPr="00F66A06">
        <w:t>TA normal (TA 120-130/80-85 mm Hg)</w:t>
      </w:r>
    </w:p>
    <w:p w:rsidR="00A93B53" w:rsidRPr="00F66A06" w:rsidRDefault="00A93B53" w:rsidP="00A93B53">
      <w:r w:rsidRPr="00F66A06">
        <w:t xml:space="preserve">TA normal alta (130-140/85-90 mm Hg, já existe aumento do risco, sobretudo se há </w:t>
      </w:r>
      <w:proofErr w:type="spellStart"/>
      <w:r w:rsidRPr="00F66A06">
        <w:t>factores</w:t>
      </w:r>
      <w:proofErr w:type="spellEnd"/>
      <w:r w:rsidRPr="00F66A06">
        <w:t xml:space="preserve"> acompanhantes, tal como Diabetes).</w:t>
      </w:r>
    </w:p>
    <w:p w:rsidR="00A93B53" w:rsidRPr="00F66A06" w:rsidRDefault="00A93B53" w:rsidP="00A93B53">
      <w:r w:rsidRPr="00F66A06">
        <w:t>HTA&gt; 140/90 mm Hg em 3 diferentes graus: 1-2-3</w:t>
      </w:r>
    </w:p>
    <w:p w:rsidR="00A93B53" w:rsidRPr="00F66A06" w:rsidRDefault="00A93B53" w:rsidP="00A93B53">
      <w:r w:rsidRPr="00F66A06">
        <w:t>HTA sistólica também se classifica em graus 1-2-3 de acordo com os valores sistólicos obtidos, nestes casos sempre com PAD &lt;90 mm Hg</w:t>
      </w:r>
    </w:p>
    <w:p w:rsidR="00A93B53" w:rsidRPr="00F66A06" w:rsidRDefault="00A93B53" w:rsidP="00A93B53"/>
    <w:p w:rsidR="00A93B53" w:rsidRPr="00F66A06" w:rsidRDefault="00A93B53" w:rsidP="00A93B53">
      <w:pPr>
        <w:pStyle w:val="Ttulo2"/>
      </w:pPr>
      <w:bookmarkStart w:id="22" w:name="_Toc340647307"/>
      <w:bookmarkStart w:id="23" w:name="_Toc382865750"/>
      <w:bookmarkStart w:id="24" w:name="_Toc382866029"/>
      <w:bookmarkStart w:id="25" w:name="_Toc422524122"/>
      <w:bookmarkStart w:id="26" w:name="_Toc422525608"/>
      <w:r w:rsidRPr="00F66A06">
        <w:t>Pré-Hipertensão</w:t>
      </w:r>
      <w:bookmarkEnd w:id="22"/>
      <w:bookmarkEnd w:id="23"/>
      <w:bookmarkEnd w:id="24"/>
      <w:bookmarkEnd w:id="25"/>
      <w:bookmarkEnd w:id="26"/>
    </w:p>
    <w:p w:rsidR="00A93B53" w:rsidRPr="00F66A06" w:rsidRDefault="00A93B53" w:rsidP="00A93B53">
      <w:r w:rsidRPr="00F66A06">
        <w:t>Há 3 motivos principais para não se usar o termo pré-hipertensão utilizado pelos peritos americanos:</w:t>
      </w:r>
    </w:p>
    <w:p w:rsidR="00A93B53" w:rsidRPr="00F66A06" w:rsidRDefault="00A93B53" w:rsidP="00A93B53">
      <w:r w:rsidRPr="00F66A06">
        <w:lastRenderedPageBreak/>
        <w:t>Os doentes com TA normal têm uma progressão diferente (menor) no sentido de HTA da dos indivíduos com TA normal alta.</w:t>
      </w:r>
    </w:p>
    <w:p w:rsidR="00A93B53" w:rsidRPr="00F66A06" w:rsidRDefault="00A93B53" w:rsidP="00A93B53">
      <w:r w:rsidRPr="00F66A06">
        <w:t>O termo pré-hipertensão cria ansiedade e visitas médicas injustificadas.</w:t>
      </w:r>
    </w:p>
    <w:p w:rsidR="00A93B53" w:rsidRPr="00F66A06" w:rsidRDefault="00A93B53" w:rsidP="00A93B53">
      <w:r w:rsidRPr="00F66A06">
        <w:t xml:space="preserve">Em pré-hipertensão situar-se-iam os indivíduos sem necessidade de tratamento (idosos) com TA </w:t>
      </w:r>
      <w:proofErr w:type="spellStart"/>
      <w:r w:rsidRPr="00F66A06">
        <w:t>normias</w:t>
      </w:r>
      <w:proofErr w:type="spellEnd"/>
      <w:r w:rsidRPr="00F66A06">
        <w:t xml:space="preserve"> sem outros </w:t>
      </w:r>
      <w:proofErr w:type="spellStart"/>
      <w:r w:rsidRPr="00F66A06">
        <w:t>factores</w:t>
      </w:r>
      <w:proofErr w:type="spellEnd"/>
      <w:r w:rsidRPr="00F66A06">
        <w:t xml:space="preserve"> de risco, juntamente com outros (diabéticos) que com uma TA semelhante necessitam, de facto, de tratamento, ou seja, a pré-hipertensão pode abarcar indivíduos com um nível de risco muito diferente.</w:t>
      </w:r>
    </w:p>
    <w:p w:rsidR="00A93B53" w:rsidRPr="00F66A06" w:rsidRDefault="00A93B53" w:rsidP="00A93B53"/>
    <w:p w:rsidR="00A93B53" w:rsidRPr="00F66A06" w:rsidRDefault="00A93B53" w:rsidP="00A93B53"/>
    <w:p w:rsidR="00A93B53" w:rsidRPr="00F66A06" w:rsidRDefault="00A93B53" w:rsidP="00A93B53">
      <w:pPr>
        <w:pStyle w:val="Ttulo1"/>
      </w:pPr>
      <w:bookmarkStart w:id="27" w:name="_Toc340647308"/>
      <w:bookmarkStart w:id="28" w:name="_Toc382865751"/>
      <w:bookmarkStart w:id="29" w:name="_Toc382866030"/>
      <w:bookmarkStart w:id="30" w:name="_Toc422524123"/>
      <w:bookmarkStart w:id="31" w:name="_Toc422525609"/>
      <w:bookmarkStart w:id="32" w:name="_Toc444109681"/>
      <w:r w:rsidRPr="00F66A06">
        <w:t>Avaliação do utente Hipertenso</w:t>
      </w:r>
      <w:bookmarkEnd w:id="27"/>
      <w:bookmarkEnd w:id="28"/>
      <w:bookmarkEnd w:id="29"/>
      <w:bookmarkEnd w:id="30"/>
      <w:bookmarkEnd w:id="31"/>
      <w:bookmarkEnd w:id="32"/>
    </w:p>
    <w:p w:rsidR="00A93B53" w:rsidRPr="00F66A06" w:rsidRDefault="00A93B53" w:rsidP="00A93B53">
      <w:r w:rsidRPr="00F66A06">
        <w:t>A avaliação do utente hipertenso deverá responder às seguintes questões:</w:t>
      </w:r>
    </w:p>
    <w:p w:rsidR="00A93B53" w:rsidRPr="00F66A06" w:rsidRDefault="00A93B53" w:rsidP="00A93B53"/>
    <w:p w:rsidR="00A93B53" w:rsidRPr="00F66A06" w:rsidRDefault="00A93B53" w:rsidP="00A93B53">
      <w:r w:rsidRPr="00F66A06">
        <w:t xml:space="preserve">O utente apresenta uma elevação sustentada da PA? </w:t>
      </w:r>
    </w:p>
    <w:p w:rsidR="00A93B53" w:rsidRPr="00F66A06" w:rsidRDefault="00A93B53" w:rsidP="00A93B53">
      <w:r w:rsidRPr="00F66A06">
        <w:t xml:space="preserve">É importante o </w:t>
      </w:r>
      <w:proofErr w:type="spellStart"/>
      <w:r w:rsidRPr="00F66A06">
        <w:t>correcto</w:t>
      </w:r>
      <w:proofErr w:type="spellEnd"/>
      <w:r w:rsidRPr="00F66A06">
        <w:t xml:space="preserve"> diagnóstico, já que esta é uma patologia com repercussões importantes na vida do utente. É portanto fundamental a avaliação </w:t>
      </w:r>
      <w:proofErr w:type="spellStart"/>
      <w:r w:rsidRPr="00F66A06">
        <w:t>correcta</w:t>
      </w:r>
      <w:proofErr w:type="spellEnd"/>
      <w:r w:rsidRPr="00F66A06">
        <w:t xml:space="preserve"> da PA, sendo que </w:t>
      </w:r>
      <w:proofErr w:type="spellStart"/>
      <w:r w:rsidRPr="00F66A06">
        <w:t>factores</w:t>
      </w:r>
      <w:proofErr w:type="spellEnd"/>
      <w:r w:rsidRPr="00F66A06">
        <w:t xml:space="preserve"> como não ter o utente sentado por 5 minutos previamente à avaliação, braço mal apoiado, </w:t>
      </w:r>
      <w:proofErr w:type="spellStart"/>
      <w:r w:rsidRPr="00F66A06">
        <w:t>cuff</w:t>
      </w:r>
      <w:proofErr w:type="spellEnd"/>
      <w:r w:rsidRPr="00F66A06">
        <w:t xml:space="preserve"> de dimensões inadequadas ou </w:t>
      </w:r>
      <w:proofErr w:type="spellStart"/>
      <w:r w:rsidRPr="00F66A06">
        <w:t>deflacção</w:t>
      </w:r>
      <w:proofErr w:type="spellEnd"/>
      <w:r w:rsidRPr="00F66A06">
        <w:t xml:space="preserve"> demasiado rápida do </w:t>
      </w:r>
      <w:proofErr w:type="spellStart"/>
      <w:r w:rsidRPr="00F66A06">
        <w:t>cuff</w:t>
      </w:r>
      <w:proofErr w:type="spellEnd"/>
      <w:r w:rsidRPr="00F66A06">
        <w:t xml:space="preserve"> (no caso dos esfigmomanómetros </w:t>
      </w:r>
      <w:proofErr w:type="spellStart"/>
      <w:r w:rsidRPr="00F66A06">
        <w:t>aneróides</w:t>
      </w:r>
      <w:proofErr w:type="spellEnd"/>
      <w:r w:rsidRPr="00F66A06">
        <w:t xml:space="preserve">) tende a elevar falsamente as leituras obtidas. Lembrar ainda que usualmente a medição </w:t>
      </w:r>
      <w:proofErr w:type="spellStart"/>
      <w:r w:rsidRPr="00F66A06">
        <w:t>efectuada</w:t>
      </w:r>
      <w:proofErr w:type="spellEnd"/>
      <w:r w:rsidRPr="00F66A06">
        <w:t xml:space="preserve"> no braço direito tende a ser mais elevada do que no braço esquerdo, devendo portanto ser utilizado preferencialmente o primeiro.</w:t>
      </w:r>
    </w:p>
    <w:p w:rsidR="00A93B53" w:rsidRPr="00F66A06" w:rsidRDefault="00A93B53" w:rsidP="00A93B53"/>
    <w:p w:rsidR="00A93B53" w:rsidRPr="00F66A06" w:rsidRDefault="00A93B53" w:rsidP="00A93B53">
      <w:r w:rsidRPr="00F66A06">
        <w:t>Se sim, esta elevação é primária ou secundária?</w:t>
      </w:r>
    </w:p>
    <w:p w:rsidR="00A93B53" w:rsidRPr="00F66A06" w:rsidRDefault="00A93B53" w:rsidP="00A93B53">
      <w:r w:rsidRPr="00F66A06">
        <w:t>A maioria dos utentes hipertensos apresenta HTA primária e provavelmente sê-lo-ão toda a vida. Porém, alguns utentes apresentam HTA secundária, por vezes com causa tratável ou por patologia que pode ser controlada. O início súbito de HTA num utente previamente normotenso levanta a suspeita clínica de HTA secundária bem como a HTA de início precoce (&lt;25 anos) ou tardio (&gt;55 anos), na ausência de antecedentes familiares relevantes. O súbito descontrolo de HTA previamente bem controlada, a HTA resistente ou o aparecimento de queixas específicas pode também sugerir uma etiologia secundária.</w:t>
      </w:r>
    </w:p>
    <w:p w:rsidR="00A93B53" w:rsidRPr="00F66A06" w:rsidRDefault="00A93B53" w:rsidP="00A93B53"/>
    <w:p w:rsidR="00A93B53" w:rsidRPr="00F66A06" w:rsidRDefault="00A93B53" w:rsidP="00A93B53">
      <w:r w:rsidRPr="00F66A06">
        <w:t xml:space="preserve">O utente apresenta outros </w:t>
      </w:r>
      <w:proofErr w:type="spellStart"/>
      <w:r w:rsidRPr="00F66A06">
        <w:t>factores</w:t>
      </w:r>
      <w:proofErr w:type="spellEnd"/>
      <w:r w:rsidRPr="00F66A06">
        <w:t xml:space="preserve"> de risco cardiovascular?</w:t>
      </w:r>
    </w:p>
    <w:p w:rsidR="00A93B53" w:rsidRPr="00F66A06" w:rsidRDefault="00A93B53" w:rsidP="00A93B53">
      <w:r w:rsidRPr="00F66A06">
        <w:lastRenderedPageBreak/>
        <w:t xml:space="preserve">A relação entre a PA e o risco cardiovascular é linear, contínuo e independente (embora adicionando-se) a outros </w:t>
      </w:r>
      <w:proofErr w:type="spellStart"/>
      <w:r w:rsidRPr="00F66A06">
        <w:t>factores</w:t>
      </w:r>
      <w:proofErr w:type="spellEnd"/>
      <w:r w:rsidRPr="00F66A06">
        <w:t xml:space="preserve"> de risco. Lembrar que no utente hipertenso não estamos a tratar a Hipertensão isoladamente mas sim o risco cardiovascular.</w:t>
      </w:r>
    </w:p>
    <w:p w:rsidR="00A93B53" w:rsidRPr="00F66A06" w:rsidRDefault="00A93B53" w:rsidP="00A93B53"/>
    <w:p w:rsidR="00A93B53" w:rsidRPr="00F66A06" w:rsidRDefault="00A93B53" w:rsidP="00A93B53">
      <w:r w:rsidRPr="00F66A06">
        <w:t>O utente apresenta evidência de lesão de órgãos-alvo?</w:t>
      </w:r>
    </w:p>
    <w:p w:rsidR="00A93B53" w:rsidRPr="00F66A06" w:rsidRDefault="00A93B53" w:rsidP="00A93B53">
      <w:r w:rsidRPr="00F66A06">
        <w:t xml:space="preserve">A </w:t>
      </w:r>
      <w:proofErr w:type="spellStart"/>
      <w:r w:rsidRPr="00F66A06">
        <w:t>detecção</w:t>
      </w:r>
      <w:proofErr w:type="spellEnd"/>
      <w:r w:rsidRPr="00F66A06">
        <w:t xml:space="preserve"> de lesões de órgão-alvo é crucial visto que a sua </w:t>
      </w:r>
      <w:proofErr w:type="spellStart"/>
      <w:r w:rsidRPr="00F66A06">
        <w:t>detecção</w:t>
      </w:r>
      <w:proofErr w:type="spellEnd"/>
      <w:r w:rsidRPr="00F66A06">
        <w:t xml:space="preserve"> altera os </w:t>
      </w:r>
      <w:proofErr w:type="spellStart"/>
      <w:r w:rsidRPr="00F66A06">
        <w:t>objectivos</w:t>
      </w:r>
      <w:proofErr w:type="spellEnd"/>
      <w:r w:rsidRPr="00F66A06">
        <w:t xml:space="preserve"> do tratamento; deixamos de considerar prevenção primária para tratar de acordo com prevenção secundária.</w:t>
      </w:r>
    </w:p>
    <w:p w:rsidR="00A93B53" w:rsidRPr="00F66A06" w:rsidRDefault="00A93B53" w:rsidP="00A93B53"/>
    <w:p w:rsidR="00A93B53" w:rsidRPr="00F66A06" w:rsidRDefault="00A93B53" w:rsidP="00A93B53">
      <w:pPr>
        <w:pStyle w:val="Ttulo1"/>
      </w:pPr>
      <w:bookmarkStart w:id="33" w:name="_Toc340647309"/>
      <w:bookmarkStart w:id="34" w:name="_Toc382865752"/>
      <w:bookmarkStart w:id="35" w:name="_Toc382866031"/>
      <w:bookmarkStart w:id="36" w:name="_Toc422524124"/>
      <w:bookmarkStart w:id="37" w:name="_Toc422525610"/>
      <w:bookmarkStart w:id="38" w:name="_Toc444109682"/>
      <w:r w:rsidRPr="00F66A06">
        <w:t>Cálculo do risco Cardiovascular</w:t>
      </w:r>
      <w:bookmarkEnd w:id="33"/>
      <w:bookmarkEnd w:id="34"/>
      <w:bookmarkEnd w:id="35"/>
      <w:bookmarkEnd w:id="36"/>
      <w:bookmarkEnd w:id="37"/>
      <w:bookmarkEnd w:id="38"/>
    </w:p>
    <w:p w:rsidR="00A93B53" w:rsidRPr="00F66A06" w:rsidRDefault="00A93B53" w:rsidP="00A93B53">
      <w:r w:rsidRPr="00F66A06">
        <w:t xml:space="preserve">O risco depende dos níveis de TA e também da presença ou ausência de outros </w:t>
      </w:r>
      <w:proofErr w:type="spellStart"/>
      <w:r w:rsidRPr="00F66A06">
        <w:t>factores</w:t>
      </w:r>
      <w:proofErr w:type="spellEnd"/>
      <w:r w:rsidRPr="00F66A06">
        <w:t xml:space="preserve"> de risco, tais como doença oculta e doença cardiovascular concomitante, Diabetes </w:t>
      </w:r>
      <w:proofErr w:type="spellStart"/>
      <w:r w:rsidRPr="00F66A06">
        <w:t>mellitus</w:t>
      </w:r>
      <w:proofErr w:type="spellEnd"/>
      <w:r w:rsidRPr="00F66A06">
        <w:t>, síndrome metabólico e doença renal.</w:t>
      </w:r>
    </w:p>
    <w:p w:rsidR="00A93B53" w:rsidRPr="00F66A06" w:rsidRDefault="00A93B53" w:rsidP="00A93B53">
      <w:r w:rsidRPr="00F66A06">
        <w:t>Em todas as normas de orientação clínica nacionais e europeias o cálculo do risco, para além da história familiar e os estilos de vida, têm em conta a síndrome metabólica como uma situação particular de elevado risco cardiovascular e as doenças subclínicas.</w:t>
      </w:r>
    </w:p>
    <w:p w:rsidR="00A93B53" w:rsidRPr="00F66A06" w:rsidRDefault="00A93B53" w:rsidP="00A93B53"/>
    <w:p w:rsidR="00A93B53" w:rsidRPr="00F66A06" w:rsidRDefault="00A93B53" w:rsidP="00A93B53"/>
    <w:p w:rsidR="00A93B53" w:rsidRPr="00F66A06" w:rsidRDefault="00A93B53" w:rsidP="00A93B53">
      <w:r w:rsidRPr="00F66A06">
        <w:t>São considerados para cálculo do risco clínico:</w:t>
      </w:r>
    </w:p>
    <w:p w:rsidR="00A93B53" w:rsidRPr="00F66A06" w:rsidRDefault="00A93B53" w:rsidP="00A93B53">
      <w:proofErr w:type="spellStart"/>
      <w:r w:rsidRPr="00F66A06">
        <w:rPr>
          <w:b/>
        </w:rPr>
        <w:t>Factores</w:t>
      </w:r>
      <w:proofErr w:type="spellEnd"/>
      <w:r w:rsidRPr="00F66A06">
        <w:rPr>
          <w:b/>
        </w:rPr>
        <w:t xml:space="preserve"> não modificáveis</w:t>
      </w:r>
      <w:r w:rsidRPr="00F66A06">
        <w:t>:</w:t>
      </w:r>
    </w:p>
    <w:p w:rsidR="00A93B53" w:rsidRPr="00F66A06" w:rsidRDefault="00A93B53" w:rsidP="00A93B53">
      <w:r w:rsidRPr="00F66A06">
        <w:t>Idade;</w:t>
      </w:r>
    </w:p>
    <w:p w:rsidR="00A93B53" w:rsidRPr="00F66A06" w:rsidRDefault="00A93B53" w:rsidP="00A93B53">
      <w:r w:rsidRPr="00F66A06">
        <w:t>Hereditariedade;</w:t>
      </w:r>
    </w:p>
    <w:p w:rsidR="00A93B53" w:rsidRPr="00F66A06" w:rsidRDefault="00A93B53" w:rsidP="00A93B53">
      <w:r w:rsidRPr="00F66A06">
        <w:t>Sexo;</w:t>
      </w:r>
    </w:p>
    <w:p w:rsidR="00A93B53" w:rsidRPr="00F66A06" w:rsidRDefault="00A93B53" w:rsidP="00A93B53">
      <w:proofErr w:type="spellStart"/>
      <w:r w:rsidRPr="00F66A06">
        <w:rPr>
          <w:b/>
        </w:rPr>
        <w:t>Factores</w:t>
      </w:r>
      <w:proofErr w:type="spellEnd"/>
      <w:r w:rsidRPr="00F66A06">
        <w:rPr>
          <w:b/>
        </w:rPr>
        <w:t xml:space="preserve"> modificáveis</w:t>
      </w:r>
      <w:r w:rsidRPr="00F66A06">
        <w:t>:</w:t>
      </w:r>
    </w:p>
    <w:p w:rsidR="00A93B53" w:rsidRPr="00F66A06" w:rsidRDefault="00A93B53" w:rsidP="00A93B53">
      <w:r w:rsidRPr="00F66A06">
        <w:t xml:space="preserve">Uso de </w:t>
      </w:r>
      <w:proofErr w:type="spellStart"/>
      <w:r w:rsidRPr="00F66A06">
        <w:t>anticoncepcionais</w:t>
      </w:r>
      <w:proofErr w:type="spellEnd"/>
      <w:r w:rsidRPr="00F66A06">
        <w:t>;</w:t>
      </w:r>
    </w:p>
    <w:p w:rsidR="00A93B53" w:rsidRPr="00F66A06" w:rsidRDefault="00A93B53" w:rsidP="00A93B53">
      <w:r w:rsidRPr="00F66A06">
        <w:t>Hábitos sociais:</w:t>
      </w:r>
    </w:p>
    <w:p w:rsidR="00A93B53" w:rsidRPr="00F66A06" w:rsidRDefault="00A93B53" w:rsidP="00A93B53">
      <w:r w:rsidRPr="00F66A06">
        <w:t>Tabaco;</w:t>
      </w:r>
    </w:p>
    <w:p w:rsidR="00A93B53" w:rsidRPr="00F66A06" w:rsidRDefault="00A93B53" w:rsidP="00A93B53">
      <w:r w:rsidRPr="00F66A06">
        <w:t>Álcool;</w:t>
      </w:r>
    </w:p>
    <w:p w:rsidR="00A93B53" w:rsidRPr="00F66A06" w:rsidRDefault="00A93B53" w:rsidP="00A93B53">
      <w:r w:rsidRPr="00F66A06">
        <w:t>Sal.</w:t>
      </w:r>
    </w:p>
    <w:p w:rsidR="00A93B53" w:rsidRPr="00F66A06" w:rsidRDefault="00A93B53" w:rsidP="00A93B53">
      <w:r w:rsidRPr="00F66A06">
        <w:t xml:space="preserve">Padrões alimentares e </w:t>
      </w:r>
      <w:proofErr w:type="spellStart"/>
      <w:r w:rsidRPr="00F66A06">
        <w:t>aspectos</w:t>
      </w:r>
      <w:proofErr w:type="spellEnd"/>
      <w:r w:rsidRPr="00F66A06">
        <w:t xml:space="preserve"> físicos:</w:t>
      </w:r>
    </w:p>
    <w:p w:rsidR="00A93B53" w:rsidRPr="00F66A06" w:rsidRDefault="00A93B53" w:rsidP="00A93B53">
      <w:r w:rsidRPr="00F66A06">
        <w:lastRenderedPageBreak/>
        <w:t>Sedentarismo;</w:t>
      </w:r>
    </w:p>
    <w:p w:rsidR="00A93B53" w:rsidRPr="00F66A06" w:rsidRDefault="00A93B53" w:rsidP="00A93B53">
      <w:r w:rsidRPr="00F66A06">
        <w:t>Obesidade;</w:t>
      </w:r>
    </w:p>
    <w:p w:rsidR="00A93B53" w:rsidRPr="00F66A06" w:rsidRDefault="00A93B53" w:rsidP="00A93B53">
      <w:r w:rsidRPr="00F66A06">
        <w:t>Hábitos alimentares (nº de refeições);</w:t>
      </w:r>
    </w:p>
    <w:p w:rsidR="00A93B53" w:rsidRPr="00F66A06" w:rsidRDefault="00A93B53" w:rsidP="00A93B53">
      <w:r w:rsidRPr="00F66A06">
        <w:t>Qualidade das refeições.</w:t>
      </w:r>
    </w:p>
    <w:p w:rsidR="00A93B53" w:rsidRPr="00F66A06" w:rsidRDefault="00A93B53" w:rsidP="00A93B53"/>
    <w:p w:rsidR="00A93B53" w:rsidRPr="00F66A06" w:rsidRDefault="00A93B53" w:rsidP="00A93B53">
      <w:r w:rsidRPr="00F66A06">
        <w:t>Devem-se investigar as doenças subclínica que elevam significativamente o risco CV. Ter em atenção:</w:t>
      </w:r>
    </w:p>
    <w:p w:rsidR="00A93B53" w:rsidRPr="00F66A06" w:rsidRDefault="00A93B53" w:rsidP="00A93B53">
      <w:r w:rsidRPr="00F66A06">
        <w:t>Hipertrofia ventricular esquerda;</w:t>
      </w:r>
    </w:p>
    <w:p w:rsidR="00A93B53" w:rsidRPr="00F66A06" w:rsidRDefault="00A93B53" w:rsidP="00A93B53">
      <w:r w:rsidRPr="00F66A06">
        <w:t xml:space="preserve">Aumento da Espessura da Íntima Média – Intima-Media </w:t>
      </w:r>
      <w:proofErr w:type="spellStart"/>
      <w:r w:rsidRPr="00F66A06">
        <w:t>Thickness</w:t>
      </w:r>
      <w:proofErr w:type="spellEnd"/>
      <w:r w:rsidRPr="00F66A06">
        <w:t xml:space="preserve"> (IMT) carotídea ou placas;</w:t>
      </w:r>
    </w:p>
    <w:p w:rsidR="00A93B53" w:rsidRPr="00F66A06" w:rsidRDefault="00A93B53" w:rsidP="00A93B53">
      <w:r w:rsidRPr="00F66A06">
        <w:t>Velocidade da onda do pulso carotídeo/femoral &gt;12m/s;</w:t>
      </w:r>
    </w:p>
    <w:p w:rsidR="00A93B53" w:rsidRPr="00F66A06" w:rsidRDefault="00A93B53" w:rsidP="00A93B53">
      <w:proofErr w:type="spellStart"/>
      <w:r w:rsidRPr="00F66A06">
        <w:t>Microalbuminúria</w:t>
      </w:r>
      <w:proofErr w:type="spellEnd"/>
      <w:r w:rsidRPr="00F66A06">
        <w:t>;</w:t>
      </w:r>
    </w:p>
    <w:p w:rsidR="00A93B53" w:rsidRPr="00F66A06" w:rsidRDefault="00A93B53" w:rsidP="00A93B53">
      <w:r w:rsidRPr="00F66A06">
        <w:t>Relação TA tornozelo /braço &lt;0,9;</w:t>
      </w:r>
    </w:p>
    <w:p w:rsidR="00A93B53" w:rsidRPr="00F66A06" w:rsidRDefault="00A93B53" w:rsidP="00A93B53">
      <w:r w:rsidRPr="00F66A06">
        <w:t>Ligeiro aumento da creatinina &gt;1,5mg% em homens e &gt;1,4mg% em mulheres, ou depuração da creatinina &lt;60mL/min.</w:t>
      </w:r>
    </w:p>
    <w:p w:rsidR="00A93B53" w:rsidRPr="00F66A06" w:rsidRDefault="00A93B53" w:rsidP="00A93B53"/>
    <w:p w:rsidR="00A93B53" w:rsidRPr="00F66A06" w:rsidRDefault="00A93B53" w:rsidP="00A93B53"/>
    <w:p w:rsidR="00A93B53" w:rsidRPr="00F66A06" w:rsidRDefault="00A93B53" w:rsidP="00A93B53"/>
    <w:p w:rsidR="00A93B53" w:rsidRPr="00F66A06" w:rsidRDefault="00A93B53" w:rsidP="003F23F7">
      <w:pPr>
        <w:pStyle w:val="Ttulo1"/>
      </w:pPr>
      <w:r w:rsidRPr="00F66A06">
        <w:br w:type="page"/>
      </w:r>
      <w:bookmarkStart w:id="39" w:name="_Toc340647310"/>
      <w:bookmarkStart w:id="40" w:name="_Toc382865753"/>
      <w:bookmarkStart w:id="41" w:name="_Toc382866032"/>
      <w:bookmarkStart w:id="42" w:name="_Toc422524125"/>
      <w:bookmarkStart w:id="43" w:name="_Toc422525611"/>
      <w:r w:rsidRPr="00F66A06">
        <w:lastRenderedPageBreak/>
        <w:t>Avaliação clínica inicial do utente Hipertenso</w:t>
      </w:r>
      <w:bookmarkEnd w:id="39"/>
      <w:bookmarkEnd w:id="40"/>
      <w:bookmarkEnd w:id="41"/>
      <w:bookmarkEnd w:id="42"/>
      <w:bookmarkEnd w:id="43"/>
    </w:p>
    <w:p w:rsidR="00A93B53" w:rsidRPr="00F66A06" w:rsidRDefault="00A93B53" w:rsidP="00A93B53">
      <w:bookmarkStart w:id="44" w:name="_Toc340647311"/>
      <w:r w:rsidRPr="00F66A06">
        <w:t xml:space="preserve">Identificação dos </w:t>
      </w:r>
      <w:proofErr w:type="spellStart"/>
      <w:r w:rsidRPr="00F66A06">
        <w:t>factores</w:t>
      </w:r>
      <w:proofErr w:type="spellEnd"/>
      <w:r w:rsidRPr="00F66A06">
        <w:t xml:space="preserve"> de risco;</w:t>
      </w:r>
      <w:bookmarkEnd w:id="44"/>
    </w:p>
    <w:p w:rsidR="00A93B53" w:rsidRPr="00F66A06" w:rsidRDefault="00A93B53" w:rsidP="00A93B53">
      <w:r w:rsidRPr="00F66A06">
        <w:t>Pesquisa de causas identificáveis de Hipertensão Arterial;</w:t>
      </w:r>
    </w:p>
    <w:p w:rsidR="00A93B53" w:rsidRPr="00F66A06" w:rsidRDefault="00A93B53" w:rsidP="00A93B53">
      <w:r w:rsidRPr="00F66A06">
        <w:t>Avaliação de lesão dos órgãos-alvo e doenças associadas;</w:t>
      </w:r>
    </w:p>
    <w:p w:rsidR="00A93B53" w:rsidRPr="00F66A06" w:rsidRDefault="00A93B53" w:rsidP="00A93B53">
      <w:r w:rsidRPr="00F66A06">
        <w:t>Colheita de história clínica e realização de exame físico;</w:t>
      </w:r>
    </w:p>
    <w:p w:rsidR="00A93B53" w:rsidRPr="00F66A06" w:rsidRDefault="00A93B53" w:rsidP="00A93B53">
      <w:r w:rsidRPr="00F66A06">
        <w:t xml:space="preserve">Testes laboratoriais: urina tipo II (incluir sedimento), hemoglobina, hematócrito, glicemia, perfil lipídico, sódio, potássio, ácido úrico e creatinina, </w:t>
      </w:r>
      <w:proofErr w:type="gramStart"/>
      <w:r w:rsidRPr="00F66A06">
        <w:t>calcemia.(</w:t>
      </w:r>
      <w:proofErr w:type="gramEnd"/>
      <w:r w:rsidRPr="00F66A06">
        <w:t>Opcional: relação albumina/creatinina na primeira urina matinal);</w:t>
      </w:r>
    </w:p>
    <w:p w:rsidR="00A93B53" w:rsidRPr="00F66A06" w:rsidRDefault="00A93B53" w:rsidP="00A93B53">
      <w:proofErr w:type="spellStart"/>
      <w:r w:rsidRPr="00F66A06">
        <w:t>Electrocardiograma</w:t>
      </w:r>
      <w:proofErr w:type="spellEnd"/>
      <w:r w:rsidRPr="00F66A06">
        <w:t>.</w:t>
      </w:r>
    </w:p>
    <w:p w:rsidR="00A93B53" w:rsidRPr="00F66A06" w:rsidRDefault="00A93B53" w:rsidP="00A93B53"/>
    <w:p w:rsidR="00A93B53" w:rsidRPr="00F66A06" w:rsidRDefault="00A93B53" w:rsidP="003F23F7">
      <w:pPr>
        <w:pStyle w:val="Ttulo2"/>
      </w:pPr>
      <w:bookmarkStart w:id="45" w:name="_Toc340647312"/>
      <w:r w:rsidRPr="00F66A06">
        <w:t>Identificação de factores de risco major cardiovasculares (CV)</w:t>
      </w:r>
      <w:bookmarkEnd w:id="45"/>
    </w:p>
    <w:p w:rsidR="00A93B53" w:rsidRPr="00F66A06" w:rsidRDefault="00A93B53" w:rsidP="00A93B53">
      <w:r w:rsidRPr="00F66A06">
        <w:t>Hipertensão;</w:t>
      </w:r>
    </w:p>
    <w:p w:rsidR="00A93B53" w:rsidRPr="00F66A06" w:rsidRDefault="00A93B53" w:rsidP="00A93B53">
      <w:r w:rsidRPr="00F66A06">
        <w:t>Sedentarismo;</w:t>
      </w:r>
    </w:p>
    <w:p w:rsidR="00A93B53" w:rsidRPr="00F66A06" w:rsidRDefault="00A93B53" w:rsidP="00A93B53">
      <w:r w:rsidRPr="00F66A06">
        <w:t>Obesidade:</w:t>
      </w:r>
    </w:p>
    <w:p w:rsidR="00A93B53" w:rsidRPr="00F66A06" w:rsidRDefault="00A93B53" w:rsidP="00A93B53">
      <w:r w:rsidRPr="00F66A06">
        <w:t xml:space="preserve">(Índice massa corporal &gt; 30 kg/m </w:t>
      </w:r>
      <w:proofErr w:type="gramStart"/>
      <w:r w:rsidRPr="00F66A06">
        <w:t>2 )</w:t>
      </w:r>
      <w:proofErr w:type="gramEnd"/>
      <w:r w:rsidRPr="00F66A06">
        <w:t>;</w:t>
      </w:r>
    </w:p>
    <w:p w:rsidR="00A93B53" w:rsidRPr="00F66A06" w:rsidRDefault="00A93B53" w:rsidP="00A93B53">
      <w:r w:rsidRPr="00F66A06">
        <w:t>(Perímetro abdominal &gt; 102 cm H,&gt; 88 cm M);</w:t>
      </w:r>
    </w:p>
    <w:p w:rsidR="00A93B53" w:rsidRPr="00F66A06" w:rsidRDefault="00A93B53" w:rsidP="00A93B53">
      <w:r w:rsidRPr="00F66A06">
        <w:t xml:space="preserve">Diabetes </w:t>
      </w:r>
      <w:proofErr w:type="spellStart"/>
      <w:r w:rsidRPr="00F66A06">
        <w:t>mellitus</w:t>
      </w:r>
      <w:proofErr w:type="spellEnd"/>
      <w:r w:rsidRPr="00F66A06">
        <w:t>;</w:t>
      </w:r>
    </w:p>
    <w:p w:rsidR="00A93B53" w:rsidRPr="00F66A06" w:rsidRDefault="00A93B53" w:rsidP="00A93B53">
      <w:r w:rsidRPr="00F66A06">
        <w:t>Dislipidemia;</w:t>
      </w:r>
    </w:p>
    <w:p w:rsidR="00A93B53" w:rsidRPr="00F66A06" w:rsidRDefault="00A93B53" w:rsidP="00A93B53">
      <w:r w:rsidRPr="00F66A06">
        <w:t>Idade (&gt; 55 anos H, &gt; 65 anos M);</w:t>
      </w:r>
    </w:p>
    <w:p w:rsidR="00A93B53" w:rsidRPr="00F66A06" w:rsidRDefault="00A93B53" w:rsidP="00A93B53">
      <w:r w:rsidRPr="00F66A06">
        <w:t>Taxa de Filtração Glomerular: (TFG) estimada &lt; 60 ml/min;</w:t>
      </w:r>
    </w:p>
    <w:p w:rsidR="00A93B53" w:rsidRPr="00F66A06" w:rsidRDefault="00A93B53" w:rsidP="00A93B53">
      <w:r w:rsidRPr="00F66A06">
        <w:t>História familiar de doença CV prematura (&lt; 55 anos H, &lt; 65 anos M);</w:t>
      </w:r>
    </w:p>
    <w:p w:rsidR="00A93B53" w:rsidRPr="00F66A06" w:rsidRDefault="00A93B53" w:rsidP="00A93B53">
      <w:r w:rsidRPr="00F66A06">
        <w:t>Hábitos tabágicos.</w:t>
      </w:r>
    </w:p>
    <w:p w:rsidR="00A93B53" w:rsidRPr="00F66A06" w:rsidRDefault="00A93B53" w:rsidP="00A93B53"/>
    <w:p w:rsidR="00A93B53" w:rsidRPr="00F66A06" w:rsidRDefault="00A93B53" w:rsidP="003F23F7">
      <w:pPr>
        <w:pStyle w:val="Ttulo2"/>
      </w:pPr>
      <w:bookmarkStart w:id="46" w:name="_Toc340647313"/>
      <w:r w:rsidRPr="00F66A06">
        <w:t>Identificação de marcadores de lesão dos órgãos-alvo</w:t>
      </w:r>
      <w:bookmarkEnd w:id="46"/>
    </w:p>
    <w:p w:rsidR="00A93B53" w:rsidRPr="00F66A06" w:rsidRDefault="00A93B53" w:rsidP="00A93B53">
      <w:r w:rsidRPr="00F66A06">
        <w:t>Hipertrofia ventricular esquerda;</w:t>
      </w:r>
    </w:p>
    <w:p w:rsidR="00A93B53" w:rsidRPr="00F66A06" w:rsidRDefault="00A93B53" w:rsidP="00A93B53">
      <w:r w:rsidRPr="00F66A06">
        <w:t>Aumento da espessura parede arterial;</w:t>
      </w:r>
    </w:p>
    <w:p w:rsidR="00A93B53" w:rsidRPr="00F66A06" w:rsidRDefault="00A93B53" w:rsidP="00A93B53">
      <w:r w:rsidRPr="00F66A06">
        <w:t>Taxa de Filtração Glomerular: (TFG) estimada 60 ml/min;</w:t>
      </w:r>
    </w:p>
    <w:p w:rsidR="00A93B53" w:rsidRPr="00F66A06" w:rsidRDefault="00A93B53" w:rsidP="00A93B53">
      <w:r w:rsidRPr="00F66A06">
        <w:lastRenderedPageBreak/>
        <w:t xml:space="preserve">Micro ou </w:t>
      </w:r>
      <w:proofErr w:type="spellStart"/>
      <w:r w:rsidRPr="00F66A06">
        <w:t>macroalbuminúria</w:t>
      </w:r>
      <w:proofErr w:type="spellEnd"/>
      <w:r w:rsidRPr="00F66A06">
        <w:t>;</w:t>
      </w:r>
    </w:p>
    <w:p w:rsidR="00A93B53" w:rsidRPr="00F66A06" w:rsidRDefault="00A93B53" w:rsidP="00A93B53">
      <w:r w:rsidRPr="00F66A06">
        <w:t>Aumento da rigidez aórtica.</w:t>
      </w:r>
    </w:p>
    <w:p w:rsidR="00A93B53" w:rsidRPr="00F66A06" w:rsidRDefault="00A93B53" w:rsidP="00A93B53"/>
    <w:p w:rsidR="00A93B53" w:rsidRPr="00F66A06" w:rsidRDefault="00A93B53" w:rsidP="003F23F7">
      <w:pPr>
        <w:pStyle w:val="Ttulo2"/>
      </w:pPr>
      <w:bookmarkStart w:id="47" w:name="_Toc340647314"/>
      <w:r w:rsidRPr="00F66A06">
        <w:t>Identificação de doenças associadas</w:t>
      </w:r>
      <w:bookmarkEnd w:id="47"/>
    </w:p>
    <w:p w:rsidR="00A93B53" w:rsidRPr="00F66A06" w:rsidRDefault="00A93B53" w:rsidP="00A93B53">
      <w:r w:rsidRPr="00F66A06">
        <w:t>Doença cerebrovascular (isquémica, hemorrágica, AIT);</w:t>
      </w:r>
    </w:p>
    <w:p w:rsidR="00A93B53" w:rsidRPr="00F66A06" w:rsidRDefault="00A93B53" w:rsidP="00A93B53">
      <w:r w:rsidRPr="00F66A06">
        <w:t xml:space="preserve">Doença cardíaca (enfarte miocárdio, </w:t>
      </w:r>
      <w:proofErr w:type="spellStart"/>
      <w:r w:rsidRPr="00F66A06">
        <w:t>angor</w:t>
      </w:r>
      <w:proofErr w:type="spellEnd"/>
      <w:r w:rsidRPr="00F66A06">
        <w:t xml:space="preserve"> </w:t>
      </w:r>
      <w:proofErr w:type="spellStart"/>
      <w:r w:rsidRPr="00F66A06">
        <w:t>pectoris</w:t>
      </w:r>
      <w:proofErr w:type="spellEnd"/>
      <w:r w:rsidRPr="00F66A06">
        <w:t>, revascularização coronária, insuficiência cardíaca);</w:t>
      </w:r>
    </w:p>
    <w:p w:rsidR="00A93B53" w:rsidRPr="00F66A06" w:rsidRDefault="00A93B53" w:rsidP="00A93B53">
      <w:r w:rsidRPr="00F66A06">
        <w:t>Doença renal, incluindo proteinúria &gt; 300mg/24 h;</w:t>
      </w:r>
    </w:p>
    <w:p w:rsidR="00A93B53" w:rsidRPr="00F66A06" w:rsidRDefault="00A93B53" w:rsidP="00A93B53">
      <w:r w:rsidRPr="00F66A06">
        <w:t>Doença vascular periférica;</w:t>
      </w:r>
    </w:p>
    <w:p w:rsidR="00A93B53" w:rsidRPr="00F66A06" w:rsidRDefault="00A93B53" w:rsidP="00A93B53">
      <w:r w:rsidRPr="00F66A06">
        <w:t>Retinopatia grave.</w:t>
      </w:r>
    </w:p>
    <w:p w:rsidR="00A93B53" w:rsidRPr="00F66A06" w:rsidRDefault="00A93B53" w:rsidP="00A93B53"/>
    <w:p w:rsidR="00A93B53" w:rsidRPr="00F66A06" w:rsidRDefault="00A93B53" w:rsidP="003F23F7">
      <w:pPr>
        <w:pStyle w:val="Ttulo2"/>
      </w:pPr>
      <w:bookmarkStart w:id="48" w:name="_Toc340647315"/>
      <w:r w:rsidRPr="00F66A06">
        <w:t>Causas identificáveis de hipertensão</w:t>
      </w:r>
      <w:bookmarkEnd w:id="48"/>
    </w:p>
    <w:p w:rsidR="00A93B53" w:rsidRPr="00F66A06" w:rsidRDefault="00A93B53" w:rsidP="00A93B53">
      <w:r w:rsidRPr="00F66A06">
        <w:t>Apneia do sono;</w:t>
      </w:r>
    </w:p>
    <w:p w:rsidR="00A93B53" w:rsidRPr="00F66A06" w:rsidRDefault="00A93B53" w:rsidP="00A93B53">
      <w:r w:rsidRPr="00F66A06">
        <w:t>Induzida por fármacos;</w:t>
      </w:r>
    </w:p>
    <w:p w:rsidR="00A93B53" w:rsidRPr="00F66A06" w:rsidRDefault="00A93B53" w:rsidP="00A93B53">
      <w:r w:rsidRPr="00F66A06">
        <w:t>Doença renal crónica;</w:t>
      </w:r>
    </w:p>
    <w:p w:rsidR="00A93B53" w:rsidRPr="00F66A06" w:rsidRDefault="00A93B53" w:rsidP="00A93B53">
      <w:r w:rsidRPr="00F66A06">
        <w:t xml:space="preserve">Hipertensão </w:t>
      </w:r>
      <w:proofErr w:type="spellStart"/>
      <w:r w:rsidRPr="00F66A06">
        <w:t>renovascular</w:t>
      </w:r>
      <w:proofErr w:type="spellEnd"/>
      <w:r w:rsidRPr="00F66A06">
        <w:t>;</w:t>
      </w:r>
    </w:p>
    <w:p w:rsidR="00A93B53" w:rsidRPr="00F66A06" w:rsidRDefault="00A93B53" w:rsidP="00A93B53">
      <w:proofErr w:type="spellStart"/>
      <w:r w:rsidRPr="00F66A06">
        <w:t>Coarctação</w:t>
      </w:r>
      <w:proofErr w:type="spellEnd"/>
      <w:r w:rsidRPr="00F66A06">
        <w:t xml:space="preserve"> da aorta;</w:t>
      </w:r>
    </w:p>
    <w:p w:rsidR="00A93B53" w:rsidRPr="00F66A06" w:rsidRDefault="00A93B53" w:rsidP="00A93B53">
      <w:r w:rsidRPr="00F66A06">
        <w:t xml:space="preserve">Síndrome de </w:t>
      </w:r>
      <w:proofErr w:type="spellStart"/>
      <w:r w:rsidRPr="00F66A06">
        <w:t>Cushing</w:t>
      </w:r>
      <w:proofErr w:type="spellEnd"/>
      <w:r w:rsidRPr="00F66A06">
        <w:t xml:space="preserve"> ou terapêutica </w:t>
      </w:r>
      <w:proofErr w:type="spellStart"/>
      <w:r w:rsidRPr="00F66A06">
        <w:t>esteróide</w:t>
      </w:r>
      <w:proofErr w:type="spellEnd"/>
      <w:r w:rsidRPr="00F66A06">
        <w:t>;</w:t>
      </w:r>
    </w:p>
    <w:p w:rsidR="00A93B53" w:rsidRPr="00F66A06" w:rsidRDefault="00A93B53" w:rsidP="00A93B53">
      <w:r w:rsidRPr="00F66A06">
        <w:t>Feocromocitoma;</w:t>
      </w:r>
    </w:p>
    <w:p w:rsidR="00A93B53" w:rsidRPr="00F66A06" w:rsidRDefault="00A93B53" w:rsidP="00A93B53">
      <w:proofErr w:type="spellStart"/>
      <w:r w:rsidRPr="00F66A06">
        <w:t>Hiperaldosteronismo</w:t>
      </w:r>
      <w:proofErr w:type="spellEnd"/>
      <w:r w:rsidRPr="00F66A06">
        <w:t xml:space="preserve"> primário;</w:t>
      </w:r>
    </w:p>
    <w:p w:rsidR="00A93B53" w:rsidRPr="00F66A06" w:rsidRDefault="00A93B53" w:rsidP="00A93B53">
      <w:r w:rsidRPr="00F66A06">
        <w:t xml:space="preserve">Doença tiroideia e </w:t>
      </w:r>
      <w:proofErr w:type="spellStart"/>
      <w:r w:rsidRPr="00F66A06">
        <w:t>paratiroideia</w:t>
      </w:r>
      <w:proofErr w:type="spellEnd"/>
      <w:r w:rsidRPr="00F66A06">
        <w:t>.</w:t>
      </w:r>
    </w:p>
    <w:p w:rsidR="00A93B53" w:rsidRPr="00F66A06" w:rsidRDefault="00A93B53" w:rsidP="00A93B53"/>
    <w:p w:rsidR="00A93B53" w:rsidRPr="00F66A06" w:rsidRDefault="00A93B53" w:rsidP="00A93B53"/>
    <w:p w:rsidR="00A93B53" w:rsidRPr="00F66A06" w:rsidRDefault="00A93B53" w:rsidP="003F23F7">
      <w:pPr>
        <w:pStyle w:val="Ttulo2"/>
      </w:pPr>
      <w:bookmarkStart w:id="49" w:name="_Toc340647316"/>
      <w:bookmarkStart w:id="50" w:name="_Toc382865754"/>
      <w:bookmarkStart w:id="51" w:name="_Toc382866033"/>
      <w:bookmarkStart w:id="52" w:name="_Toc422524126"/>
      <w:bookmarkStart w:id="53" w:name="_Toc422525612"/>
      <w:r w:rsidRPr="00F66A06">
        <w:t>Critérios para investigação de HTA secundária</w:t>
      </w:r>
      <w:bookmarkEnd w:id="49"/>
      <w:bookmarkEnd w:id="50"/>
      <w:bookmarkEnd w:id="51"/>
      <w:bookmarkEnd w:id="52"/>
      <w:bookmarkEnd w:id="53"/>
    </w:p>
    <w:p w:rsidR="00A93B53" w:rsidRPr="00F66A06" w:rsidRDefault="00A93B53" w:rsidP="00A93B53">
      <w:proofErr w:type="spellStart"/>
      <w:r w:rsidRPr="00F66A06">
        <w:t>Objectivos</w:t>
      </w:r>
      <w:proofErr w:type="spellEnd"/>
      <w:r w:rsidRPr="00F66A06">
        <w:t xml:space="preserve"> terapêuticos difíceis de atingir (com pelo menos 3 classes de fármacos anti hipertensores);</w:t>
      </w:r>
    </w:p>
    <w:p w:rsidR="00A93B53" w:rsidRPr="00F66A06" w:rsidRDefault="00A93B53" w:rsidP="00A93B53">
      <w:r w:rsidRPr="00F66A06">
        <w:t>Início antes dos 30 anos;</w:t>
      </w:r>
    </w:p>
    <w:p w:rsidR="00A93B53" w:rsidRPr="00F66A06" w:rsidRDefault="00A93B53" w:rsidP="00A93B53">
      <w:r w:rsidRPr="00F66A06">
        <w:t>Pressão arterial a subir rapidamente em pessoas idosas;</w:t>
      </w:r>
    </w:p>
    <w:p w:rsidR="00A93B53" w:rsidRPr="00F66A06" w:rsidRDefault="00A93B53" w:rsidP="00A93B53">
      <w:r w:rsidRPr="00F66A06">
        <w:lastRenderedPageBreak/>
        <w:t>Pressão arterial sistólica superior a 220 mmHg ou pressão arterial diastólica superior a 120 mmHg;</w:t>
      </w:r>
    </w:p>
    <w:p w:rsidR="00A93B53" w:rsidRPr="00F66A06" w:rsidRDefault="00A93B53" w:rsidP="00A93B53">
      <w:r w:rsidRPr="00F66A06">
        <w:t xml:space="preserve">Quando na avaliação inicial analítica se </w:t>
      </w:r>
      <w:proofErr w:type="spellStart"/>
      <w:r w:rsidRPr="00F66A06">
        <w:t>detecta</w:t>
      </w:r>
      <w:proofErr w:type="spellEnd"/>
      <w:r w:rsidRPr="00F66A06">
        <w:t>:</w:t>
      </w:r>
    </w:p>
    <w:p w:rsidR="00A93B53" w:rsidRPr="00F66A06" w:rsidRDefault="00A93B53" w:rsidP="00A93B53">
      <w:proofErr w:type="spellStart"/>
      <w:r w:rsidRPr="00F66A06">
        <w:t>Hipocaliémia</w:t>
      </w:r>
      <w:proofErr w:type="spellEnd"/>
    </w:p>
    <w:p w:rsidR="00A93B53" w:rsidRPr="00F66A06" w:rsidRDefault="00A93B53" w:rsidP="00A93B53">
      <w:proofErr w:type="spellStart"/>
      <w:r w:rsidRPr="00F66A06">
        <w:t>Hipercreatininémia</w:t>
      </w:r>
      <w:proofErr w:type="spellEnd"/>
    </w:p>
    <w:p w:rsidR="00A93B53" w:rsidRPr="00F66A06" w:rsidRDefault="00A93B53" w:rsidP="00A93B53">
      <w:r w:rsidRPr="00F66A06">
        <w:t>Proteinúria</w:t>
      </w:r>
    </w:p>
    <w:p w:rsidR="00A93B53" w:rsidRPr="00F66A06" w:rsidRDefault="00A93B53" w:rsidP="00A93B53">
      <w:r w:rsidRPr="00F66A06">
        <w:t>Hematúria</w:t>
      </w:r>
    </w:p>
    <w:p w:rsidR="00A93B53" w:rsidRPr="00F66A06" w:rsidRDefault="00A93B53" w:rsidP="00A93B53"/>
    <w:p w:rsidR="00A93B53" w:rsidRPr="00F66A06" w:rsidRDefault="00A93B53" w:rsidP="003F23F7">
      <w:pPr>
        <w:pStyle w:val="Ttulo1"/>
      </w:pPr>
      <w:bookmarkStart w:id="54" w:name="_Toc340647317"/>
      <w:bookmarkStart w:id="55" w:name="_Toc382865755"/>
      <w:bookmarkStart w:id="56" w:name="_Toc382866034"/>
      <w:bookmarkStart w:id="57" w:name="_Toc422524127"/>
      <w:bookmarkStart w:id="58" w:name="_Toc422525613"/>
      <w:r w:rsidRPr="00F66A06">
        <w:t>Critérios de referenciação hospitalar</w:t>
      </w:r>
      <w:bookmarkEnd w:id="54"/>
      <w:bookmarkEnd w:id="55"/>
      <w:bookmarkEnd w:id="56"/>
      <w:bookmarkEnd w:id="57"/>
      <w:bookmarkEnd w:id="58"/>
    </w:p>
    <w:p w:rsidR="00A93B53" w:rsidRPr="00F66A06" w:rsidRDefault="00A93B53" w:rsidP="00A93B53">
      <w:r w:rsidRPr="00F66A06">
        <w:t>Suspeita ou diagnóstico de HTA secundária;</w:t>
      </w:r>
    </w:p>
    <w:p w:rsidR="00A93B53" w:rsidRPr="00F66A06" w:rsidRDefault="00A93B53" w:rsidP="00A93B53">
      <w:r w:rsidRPr="00F66A06">
        <w:t>Emergência hipertensiva (ver NOC USF Dafundo 0037);</w:t>
      </w:r>
    </w:p>
    <w:p w:rsidR="00A93B53" w:rsidRPr="00F66A06" w:rsidRDefault="00A93B53" w:rsidP="00A93B53">
      <w:r w:rsidRPr="00F66A06">
        <w:t>Recomendações de início de terapêutica farmacológica</w:t>
      </w:r>
    </w:p>
    <w:p w:rsidR="00A93B53" w:rsidRPr="00F66A06" w:rsidRDefault="00A93B53" w:rsidP="00A93B53">
      <w:r w:rsidRPr="00F66A06">
        <w:t>Se, após duas medições repetidas, a PAS ≥ 160 mmHg ou a PAD ≥ 100 mmHg.</w:t>
      </w:r>
    </w:p>
    <w:p w:rsidR="00A93B53" w:rsidRPr="00F66A06" w:rsidRDefault="00A93B53" w:rsidP="00A93B53">
      <w:r w:rsidRPr="00F66A06">
        <w:t xml:space="preserve">Se, após várias medições repetidas, a PAS ≥ 140 mmHg ou a PAD ≥ 90 mmHg (em doentes com diabetes, sinais de lesão de órgão alvo, doença renal ou doença cardíaca clinicamente significativa ou em doentes sem </w:t>
      </w:r>
      <w:proofErr w:type="spellStart"/>
      <w:r w:rsidRPr="00F66A06">
        <w:t>factores</w:t>
      </w:r>
      <w:proofErr w:type="spellEnd"/>
      <w:r w:rsidRPr="00F66A06">
        <w:t xml:space="preserve"> de risco acrescido em cujas modificações dos estilos de vida aplicadas durante vários meses não conduziram à normalização da PA).</w:t>
      </w:r>
    </w:p>
    <w:p w:rsidR="00A93B53" w:rsidRPr="00F66A06" w:rsidRDefault="00A93B53" w:rsidP="00A93B53"/>
    <w:p w:rsidR="00A93B53" w:rsidRPr="00F66A06" w:rsidRDefault="00A93B53" w:rsidP="003F23F7">
      <w:pPr>
        <w:pStyle w:val="Ttulo1"/>
      </w:pPr>
      <w:r w:rsidRPr="00F66A06">
        <w:br w:type="page"/>
      </w:r>
      <w:bookmarkStart w:id="59" w:name="_Toc340647318"/>
      <w:bookmarkStart w:id="60" w:name="_Toc382865756"/>
      <w:bookmarkStart w:id="61" w:name="_Toc382866035"/>
      <w:bookmarkStart w:id="62" w:name="_Toc422524128"/>
      <w:bookmarkStart w:id="63" w:name="_Toc422525614"/>
      <w:r w:rsidRPr="00F66A06">
        <w:lastRenderedPageBreak/>
        <w:t>Objectivos terapêuticos</w:t>
      </w:r>
      <w:bookmarkEnd w:id="59"/>
      <w:bookmarkEnd w:id="60"/>
      <w:bookmarkEnd w:id="61"/>
      <w:bookmarkEnd w:id="62"/>
      <w:bookmarkEnd w:id="63"/>
    </w:p>
    <w:p w:rsidR="00A93B53" w:rsidRPr="00F66A06" w:rsidRDefault="00A93B53" w:rsidP="00A93B53">
      <w:r w:rsidRPr="00F66A06">
        <w:t xml:space="preserve">As metas não são apenas tensionais e o </w:t>
      </w:r>
      <w:proofErr w:type="spellStart"/>
      <w:r w:rsidRPr="00F66A06">
        <w:t>objectivo</w:t>
      </w:r>
      <w:proofErr w:type="spellEnd"/>
      <w:r w:rsidRPr="00F66A06">
        <w:t xml:space="preserve"> é o de reduzir a morbilidade e a mortalidade cardiovascular.</w:t>
      </w:r>
    </w:p>
    <w:p w:rsidR="00A93B53" w:rsidRPr="00F66A06" w:rsidRDefault="00A93B53" w:rsidP="00A93B53"/>
    <w:p w:rsidR="00A93B53" w:rsidRPr="00F66A06" w:rsidRDefault="00A93B53" w:rsidP="00A93B53">
      <w:r w:rsidRPr="00F66A06">
        <w:t>Metas:</w:t>
      </w:r>
    </w:p>
    <w:p w:rsidR="00A93B53" w:rsidRPr="00F66A06" w:rsidRDefault="00A93B53" w:rsidP="00A93B53">
      <w:r w:rsidRPr="00F66A06">
        <w:t xml:space="preserve">Reduzir a TA para valores &lt; 140/90 </w:t>
      </w:r>
      <w:proofErr w:type="spellStart"/>
      <w:r w:rsidRPr="00F66A06">
        <w:t>mHg</w:t>
      </w:r>
      <w:proofErr w:type="spellEnd"/>
      <w:r w:rsidRPr="00F66A06">
        <w:t>;</w:t>
      </w:r>
    </w:p>
    <w:p w:rsidR="00A93B53" w:rsidRPr="00F66A06" w:rsidRDefault="00A93B53" w:rsidP="00A93B53">
      <w:r w:rsidRPr="00F66A06">
        <w:t xml:space="preserve">Reduzir a TA para valores &lt; 130/80 mmHg em doentes com diabetes, doença renal crónica ou com TA na categoria normal alta e três ou mais </w:t>
      </w:r>
      <w:proofErr w:type="spellStart"/>
      <w:r w:rsidRPr="00F66A06">
        <w:t>factores</w:t>
      </w:r>
      <w:proofErr w:type="spellEnd"/>
      <w:r w:rsidRPr="00F66A06">
        <w:t xml:space="preserve"> de risco major, lesão dos órgãos alvo ou doença/eventos </w:t>
      </w:r>
      <w:proofErr w:type="gramStart"/>
      <w:r w:rsidRPr="00F66A06">
        <w:t>CV;A</w:t>
      </w:r>
      <w:proofErr w:type="gramEnd"/>
      <w:r w:rsidRPr="00F66A06">
        <w:t xml:space="preserve"> maioria dos doentes necessitará de associações com dois ou mais fármacos.</w:t>
      </w:r>
    </w:p>
    <w:p w:rsidR="00A93B53" w:rsidRPr="00F66A06" w:rsidRDefault="00A93B53" w:rsidP="00A93B53">
      <w:r w:rsidRPr="00F66A06">
        <w:t>Controlar precocemente a TA antes de se desenvolverem lesões cardiovasculares.</w:t>
      </w:r>
    </w:p>
    <w:p w:rsidR="00A93B53" w:rsidRPr="00F66A06" w:rsidRDefault="00A93B53" w:rsidP="00A93B53">
      <w:r w:rsidRPr="00F66A06">
        <w:br w:type="page"/>
      </w:r>
      <w:r w:rsidRPr="00F66A06">
        <w:lastRenderedPageBreak/>
        <w:t>A tabela abaixo sumariza as principais recomendações na abordagem terapêutica do utente hipertenso</w:t>
      </w:r>
    </w:p>
    <w:p w:rsidR="00A93B53" w:rsidRPr="00F66A06" w:rsidRDefault="00A93B53" w:rsidP="00A93B53"/>
    <w:tbl>
      <w:tblPr>
        <w:tblW w:w="5000" w:type="pct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blBorders>
        <w:tblLayout w:type="fixed"/>
        <w:tblLook w:val="0000" w:firstRow="0" w:lastRow="0" w:firstColumn="0" w:lastColumn="0" w:noHBand="0" w:noVBand="0"/>
      </w:tblPr>
      <w:tblGrid>
        <w:gridCol w:w="1414"/>
        <w:gridCol w:w="1414"/>
        <w:gridCol w:w="1414"/>
        <w:gridCol w:w="1414"/>
        <w:gridCol w:w="1414"/>
        <w:gridCol w:w="1414"/>
      </w:tblGrid>
      <w:tr w:rsidR="00A93B53" w:rsidRPr="00F66A06" w:rsidTr="004F4BDD">
        <w:trPr>
          <w:trHeight w:val="437"/>
        </w:trPr>
        <w:tc>
          <w:tcPr>
            <w:tcW w:w="140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 xml:space="preserve">Outros </w:t>
            </w:r>
            <w:proofErr w:type="spellStart"/>
            <w:r w:rsidRPr="00F66A06">
              <w:rPr>
                <w:rFonts w:cs="Arial"/>
                <w:sz w:val="22"/>
              </w:rPr>
              <w:t>factores</w:t>
            </w:r>
            <w:proofErr w:type="spellEnd"/>
            <w:r w:rsidRPr="00F66A06">
              <w:rPr>
                <w:rFonts w:cs="Arial"/>
                <w:sz w:val="22"/>
              </w:rPr>
              <w:t xml:space="preserve"> de risco ou lesão do órgão</w:t>
            </w:r>
          </w:p>
        </w:tc>
        <w:tc>
          <w:tcPr>
            <w:tcW w:w="1406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Normal</w:t>
            </w:r>
          </w:p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PAS 120-129</w:t>
            </w:r>
          </w:p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ou</w:t>
            </w:r>
          </w:p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PAD 80-84</w:t>
            </w:r>
          </w:p>
        </w:tc>
        <w:tc>
          <w:tcPr>
            <w:tcW w:w="140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Normal alta</w:t>
            </w:r>
          </w:p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PAS 130-139</w:t>
            </w:r>
          </w:p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ou</w:t>
            </w:r>
          </w:p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PAD 85-90</w:t>
            </w:r>
          </w:p>
        </w:tc>
        <w:tc>
          <w:tcPr>
            <w:tcW w:w="1406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Grau 1</w:t>
            </w:r>
          </w:p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PAS 140-150</w:t>
            </w:r>
          </w:p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ou</w:t>
            </w:r>
          </w:p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PAD 80-89</w:t>
            </w:r>
          </w:p>
        </w:tc>
        <w:tc>
          <w:tcPr>
            <w:tcW w:w="140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Grau 2</w:t>
            </w:r>
          </w:p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PAS 160-170</w:t>
            </w:r>
          </w:p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ou</w:t>
            </w:r>
          </w:p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PAD 100-109</w:t>
            </w:r>
          </w:p>
        </w:tc>
        <w:tc>
          <w:tcPr>
            <w:tcW w:w="1406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Grau 3</w:t>
            </w:r>
          </w:p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PAS &gt;180</w:t>
            </w:r>
          </w:p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ou</w:t>
            </w:r>
          </w:p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PAD &gt;= 110</w:t>
            </w:r>
          </w:p>
        </w:tc>
      </w:tr>
      <w:tr w:rsidR="00A93B53" w:rsidRPr="00F66A06" w:rsidTr="004F4BDD">
        <w:trPr>
          <w:trHeight w:val="900"/>
        </w:trPr>
        <w:tc>
          <w:tcPr>
            <w:tcW w:w="1406" w:type="dxa"/>
            <w:tcBorders>
              <w:left w:val="single" w:sz="8" w:space="0" w:color="F79646"/>
              <w:right w:val="single" w:sz="8" w:space="0" w:color="F79646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 xml:space="preserve">Sem outros </w:t>
            </w:r>
            <w:proofErr w:type="spellStart"/>
            <w:r w:rsidRPr="00F66A06">
              <w:rPr>
                <w:rFonts w:cs="Arial"/>
                <w:sz w:val="22"/>
              </w:rPr>
              <w:t>factores</w:t>
            </w:r>
            <w:proofErr w:type="spellEnd"/>
            <w:r w:rsidRPr="00F66A06">
              <w:rPr>
                <w:rFonts w:cs="Arial"/>
                <w:sz w:val="22"/>
              </w:rPr>
              <w:t xml:space="preserve"> de risco</w:t>
            </w:r>
          </w:p>
        </w:tc>
        <w:tc>
          <w:tcPr>
            <w:tcW w:w="1406" w:type="dxa"/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Sem intervenção para TA</w:t>
            </w:r>
          </w:p>
        </w:tc>
        <w:tc>
          <w:tcPr>
            <w:tcW w:w="1406" w:type="dxa"/>
            <w:tcBorders>
              <w:left w:val="single" w:sz="8" w:space="0" w:color="F79646"/>
              <w:right w:val="single" w:sz="8" w:space="0" w:color="F79646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Sem intervenção para TA</w:t>
            </w:r>
          </w:p>
        </w:tc>
        <w:tc>
          <w:tcPr>
            <w:tcW w:w="1406" w:type="dxa"/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Mudança de estilo de vida durante vários meses, depois tratamento, com drogas se TA não controlada.</w:t>
            </w:r>
          </w:p>
        </w:tc>
        <w:tc>
          <w:tcPr>
            <w:tcW w:w="1406" w:type="dxa"/>
            <w:tcBorders>
              <w:left w:val="single" w:sz="8" w:space="0" w:color="F79646"/>
              <w:right w:val="single" w:sz="8" w:space="0" w:color="F79646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Mudança de estilo de vida durante vários meses, depois tratamento, com drogas se TA não controlada</w:t>
            </w:r>
          </w:p>
        </w:tc>
        <w:tc>
          <w:tcPr>
            <w:tcW w:w="1406" w:type="dxa"/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Mudança de estilo de vida + tratamento imediato com drogas</w:t>
            </w:r>
          </w:p>
        </w:tc>
      </w:tr>
      <w:tr w:rsidR="00A93B53" w:rsidRPr="00F66A06" w:rsidTr="004F4BDD">
        <w:trPr>
          <w:trHeight w:val="901"/>
        </w:trPr>
        <w:tc>
          <w:tcPr>
            <w:tcW w:w="140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 xml:space="preserve">1-2 </w:t>
            </w:r>
            <w:proofErr w:type="spellStart"/>
            <w:r w:rsidRPr="00F66A06">
              <w:rPr>
                <w:rFonts w:cs="Arial"/>
                <w:sz w:val="22"/>
              </w:rPr>
              <w:t>factores</w:t>
            </w:r>
            <w:proofErr w:type="spellEnd"/>
            <w:r w:rsidRPr="00F66A06">
              <w:rPr>
                <w:rFonts w:cs="Arial"/>
                <w:sz w:val="22"/>
              </w:rPr>
              <w:t xml:space="preserve"> de risco</w:t>
            </w:r>
          </w:p>
        </w:tc>
        <w:tc>
          <w:tcPr>
            <w:tcW w:w="1406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Mudança de estilo de vida</w:t>
            </w:r>
          </w:p>
        </w:tc>
        <w:tc>
          <w:tcPr>
            <w:tcW w:w="140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Mudança de estilo de vida</w:t>
            </w:r>
          </w:p>
        </w:tc>
        <w:tc>
          <w:tcPr>
            <w:tcW w:w="1406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Mudança de estilo de vida durante vários meses, depois tratamento, com drogas se TA não controlada</w:t>
            </w:r>
          </w:p>
        </w:tc>
        <w:tc>
          <w:tcPr>
            <w:tcW w:w="140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Mudança de estilo de vida durante vários meses, depois tratamento, com drogas se TA não controlada</w:t>
            </w:r>
          </w:p>
        </w:tc>
        <w:tc>
          <w:tcPr>
            <w:tcW w:w="1406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Mudança de estilo de vida + tratamento imediato com drogas</w:t>
            </w:r>
          </w:p>
        </w:tc>
      </w:tr>
      <w:tr w:rsidR="00A93B53" w:rsidRPr="00F66A06" w:rsidTr="004F4BDD">
        <w:trPr>
          <w:trHeight w:val="556"/>
        </w:trPr>
        <w:tc>
          <w:tcPr>
            <w:tcW w:w="1406" w:type="dxa"/>
            <w:tcBorders>
              <w:left w:val="single" w:sz="8" w:space="0" w:color="F79646"/>
              <w:right w:val="single" w:sz="8" w:space="0" w:color="F79646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 xml:space="preserve">3 ou mais </w:t>
            </w:r>
            <w:proofErr w:type="spellStart"/>
            <w:r w:rsidRPr="00F66A06">
              <w:rPr>
                <w:rFonts w:cs="Arial"/>
                <w:sz w:val="22"/>
              </w:rPr>
              <w:t>factores</w:t>
            </w:r>
            <w:proofErr w:type="spellEnd"/>
            <w:r w:rsidRPr="00F66A06">
              <w:rPr>
                <w:rFonts w:cs="Arial"/>
                <w:sz w:val="22"/>
              </w:rPr>
              <w:t xml:space="preserve"> de risco, SM, lesão do órgão ou diabéticos</w:t>
            </w:r>
          </w:p>
        </w:tc>
        <w:tc>
          <w:tcPr>
            <w:tcW w:w="1406" w:type="dxa"/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Mudança de estilo de vida</w:t>
            </w:r>
          </w:p>
        </w:tc>
        <w:tc>
          <w:tcPr>
            <w:tcW w:w="1406" w:type="dxa"/>
            <w:tcBorders>
              <w:left w:val="single" w:sz="8" w:space="0" w:color="F79646"/>
              <w:right w:val="single" w:sz="8" w:space="0" w:color="F79646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Mudança de estilo de vida + tratamento imediato com drogas</w:t>
            </w:r>
          </w:p>
        </w:tc>
        <w:tc>
          <w:tcPr>
            <w:tcW w:w="1406" w:type="dxa"/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Mudança de estilo de vida + tratamento com drogas</w:t>
            </w:r>
          </w:p>
        </w:tc>
        <w:tc>
          <w:tcPr>
            <w:tcW w:w="1406" w:type="dxa"/>
            <w:tcBorders>
              <w:left w:val="single" w:sz="8" w:space="0" w:color="F79646"/>
              <w:right w:val="single" w:sz="8" w:space="0" w:color="F79646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Mudança de estilo de vida + tratamento com drogas</w:t>
            </w:r>
          </w:p>
        </w:tc>
        <w:tc>
          <w:tcPr>
            <w:tcW w:w="1406" w:type="dxa"/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Mudança de estilo de vida + tratamento imediato com drogas</w:t>
            </w:r>
          </w:p>
        </w:tc>
      </w:tr>
      <w:tr w:rsidR="00A93B53" w:rsidRPr="00F66A06" w:rsidTr="004F4BDD">
        <w:trPr>
          <w:trHeight w:val="557"/>
        </w:trPr>
        <w:tc>
          <w:tcPr>
            <w:tcW w:w="140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Diabetes</w:t>
            </w:r>
          </w:p>
        </w:tc>
        <w:tc>
          <w:tcPr>
            <w:tcW w:w="1406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Mudança de estilo de vida</w:t>
            </w:r>
          </w:p>
        </w:tc>
        <w:tc>
          <w:tcPr>
            <w:tcW w:w="140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Mudança de estilo de vida + tratamento com drogas</w:t>
            </w:r>
          </w:p>
        </w:tc>
        <w:tc>
          <w:tcPr>
            <w:tcW w:w="1406" w:type="dxa"/>
            <w:tcBorders>
              <w:top w:val="single" w:sz="8" w:space="0" w:color="F79646"/>
              <w:bottom w:val="single" w:sz="8" w:space="0" w:color="F79646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Mudança de estilo de vida + tratamento com drogas</w:t>
            </w:r>
          </w:p>
        </w:tc>
        <w:tc>
          <w:tcPr>
            <w:tcW w:w="140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Mudança de estilo de vida + tratamento com drogas</w:t>
            </w:r>
          </w:p>
        </w:tc>
        <w:tc>
          <w:tcPr>
            <w:tcW w:w="1406" w:type="dxa"/>
            <w:tcBorders>
              <w:top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Mudança de estilo de vida + tratamento imediato com drogas</w:t>
            </w:r>
          </w:p>
        </w:tc>
      </w:tr>
      <w:tr w:rsidR="00A93B53" w:rsidRPr="00F66A06" w:rsidTr="004F4BDD">
        <w:trPr>
          <w:trHeight w:val="557"/>
        </w:trPr>
        <w:tc>
          <w:tcPr>
            <w:tcW w:w="1406" w:type="dxa"/>
            <w:tcBorders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Doença CV estabelecida ou doença renal</w:t>
            </w:r>
          </w:p>
        </w:tc>
        <w:tc>
          <w:tcPr>
            <w:tcW w:w="1406" w:type="dxa"/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Mudança de estilo de vida + tratamento imediato com drogas</w:t>
            </w:r>
          </w:p>
        </w:tc>
        <w:tc>
          <w:tcPr>
            <w:tcW w:w="1406" w:type="dxa"/>
            <w:tcBorders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Mudança de estilo de vida + tratamento imediato com drogas</w:t>
            </w:r>
          </w:p>
        </w:tc>
        <w:tc>
          <w:tcPr>
            <w:tcW w:w="1406" w:type="dxa"/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Mudança de estilo de vida + tratamento imediato com drogas</w:t>
            </w:r>
          </w:p>
        </w:tc>
        <w:tc>
          <w:tcPr>
            <w:tcW w:w="1406" w:type="dxa"/>
            <w:tcBorders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Mudança de estilo de vida + tratamento imediato com drogas</w:t>
            </w:r>
          </w:p>
        </w:tc>
        <w:tc>
          <w:tcPr>
            <w:tcW w:w="1406" w:type="dxa"/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Mudança de estilo de vida + tratamento imediato com drogas</w:t>
            </w:r>
          </w:p>
        </w:tc>
      </w:tr>
    </w:tbl>
    <w:p w:rsidR="00A93B53" w:rsidRPr="00F66A06" w:rsidRDefault="00A93B53" w:rsidP="00A93B53"/>
    <w:p w:rsidR="00A93B53" w:rsidRPr="00F66A06" w:rsidRDefault="00A93B53" w:rsidP="00A93B53"/>
    <w:p w:rsidR="00A93B53" w:rsidRPr="00F66A06" w:rsidRDefault="00A93B53" w:rsidP="00A93B53">
      <w:bookmarkStart w:id="64" w:name="_Toc340647319"/>
      <w:bookmarkStart w:id="65" w:name="_Toc382865757"/>
      <w:bookmarkStart w:id="66" w:name="_Toc382866036"/>
      <w:bookmarkStart w:id="67" w:name="_Toc422524129"/>
      <w:bookmarkStart w:id="68" w:name="_Toc422525615"/>
      <w:r w:rsidRPr="00F66A06">
        <w:t>Mudanças no estilo de vida</w:t>
      </w:r>
      <w:bookmarkEnd w:id="64"/>
      <w:bookmarkEnd w:id="65"/>
      <w:bookmarkEnd w:id="66"/>
      <w:bookmarkEnd w:id="67"/>
      <w:bookmarkEnd w:id="68"/>
    </w:p>
    <w:p w:rsidR="00A93B53" w:rsidRPr="00F66A06" w:rsidRDefault="00A93B53" w:rsidP="00A93B53">
      <w:r w:rsidRPr="00F66A06">
        <w:lastRenderedPageBreak/>
        <w:t xml:space="preserve">As mudanças devem ser implementadas em todos os doentes hipertensos e os </w:t>
      </w:r>
      <w:proofErr w:type="spellStart"/>
      <w:r w:rsidRPr="00F66A06">
        <w:t>objectivos</w:t>
      </w:r>
      <w:proofErr w:type="spellEnd"/>
      <w:r w:rsidRPr="00F66A06">
        <w:t xml:space="preserve"> são:</w:t>
      </w:r>
    </w:p>
    <w:p w:rsidR="00A93B53" w:rsidRPr="00F66A06" w:rsidRDefault="00A93B53" w:rsidP="00A93B53">
      <w:r w:rsidRPr="00F66A06">
        <w:t>Diminuir a TA</w:t>
      </w:r>
    </w:p>
    <w:p w:rsidR="00A93B53" w:rsidRPr="00F66A06" w:rsidRDefault="00A93B53" w:rsidP="00A93B53">
      <w:r w:rsidRPr="00F66A06">
        <w:t xml:space="preserve">Reduzir outros </w:t>
      </w:r>
      <w:proofErr w:type="spellStart"/>
      <w:r w:rsidRPr="00F66A06">
        <w:t>factores</w:t>
      </w:r>
      <w:proofErr w:type="spellEnd"/>
      <w:r w:rsidRPr="00F66A06">
        <w:t xml:space="preserve"> de risco</w:t>
      </w:r>
    </w:p>
    <w:p w:rsidR="00A93B53" w:rsidRPr="00F66A06" w:rsidRDefault="00A93B53" w:rsidP="00A93B53">
      <w:r w:rsidRPr="00F66A06">
        <w:t>Reduzir as doses de fármacos</w:t>
      </w:r>
    </w:p>
    <w:p w:rsidR="00A93B53" w:rsidRPr="00F66A06" w:rsidRDefault="00A93B53" w:rsidP="00A93B53"/>
    <w:p w:rsidR="00A93B53" w:rsidRPr="00F66A06" w:rsidRDefault="00A93B53" w:rsidP="00A93B53">
      <w:r w:rsidRPr="00F66A06">
        <w:t>As medidas não farmacológicas que demonstram eficácia para diminuir a TA ou o risco CV são:</w:t>
      </w:r>
    </w:p>
    <w:p w:rsidR="00A93B53" w:rsidRPr="00F66A06" w:rsidRDefault="00A93B53" w:rsidP="00A93B53">
      <w:r w:rsidRPr="00F66A06">
        <w:t>Deixar de fumar</w:t>
      </w:r>
    </w:p>
    <w:p w:rsidR="00A93B53" w:rsidRPr="00F66A06" w:rsidRDefault="00A93B53" w:rsidP="00A93B53">
      <w:r w:rsidRPr="00F66A06">
        <w:t>Redução e estabilização do peso corporal;</w:t>
      </w:r>
    </w:p>
    <w:p w:rsidR="00A93B53" w:rsidRPr="00F66A06" w:rsidRDefault="00A93B53" w:rsidP="00A93B53">
      <w:r w:rsidRPr="00F66A06">
        <w:t>Redução do consumo exagerado de álcool;</w:t>
      </w:r>
    </w:p>
    <w:p w:rsidR="00A93B53" w:rsidRPr="00F66A06" w:rsidRDefault="00A93B53" w:rsidP="00A93B53">
      <w:r w:rsidRPr="00F66A06">
        <w:t>Exercício físico;</w:t>
      </w:r>
    </w:p>
    <w:p w:rsidR="00A93B53" w:rsidRPr="00F66A06" w:rsidRDefault="00A93B53" w:rsidP="00A93B53">
      <w:r w:rsidRPr="00F66A06">
        <w:t>Redução do consumo de sal;</w:t>
      </w:r>
    </w:p>
    <w:p w:rsidR="00A93B53" w:rsidRPr="00F66A06" w:rsidRDefault="00A93B53" w:rsidP="00A93B53">
      <w:r w:rsidRPr="00F66A06">
        <w:t>Aumentar o consumo de frutas e de verduras e reduzir as gorduras saturadas.</w:t>
      </w:r>
    </w:p>
    <w:p w:rsidR="00A93B53" w:rsidRPr="00F66A06" w:rsidRDefault="00A93B53" w:rsidP="00A93B53">
      <w:bookmarkStart w:id="69" w:name="_Toc340647320"/>
      <w:bookmarkStart w:id="70" w:name="_Toc382865758"/>
      <w:bookmarkStart w:id="71" w:name="_Toc382866037"/>
      <w:bookmarkStart w:id="72" w:name="_Toc422524130"/>
      <w:bookmarkStart w:id="73" w:name="_Toc422525616"/>
      <w:r w:rsidRPr="00F66A06">
        <w:t>Tratamento farmacológico</w:t>
      </w:r>
      <w:bookmarkEnd w:id="69"/>
      <w:bookmarkEnd w:id="70"/>
      <w:bookmarkEnd w:id="71"/>
      <w:bookmarkEnd w:id="72"/>
      <w:bookmarkEnd w:id="73"/>
    </w:p>
    <w:p w:rsidR="00A93B53" w:rsidRPr="00F66A06" w:rsidRDefault="00A93B53" w:rsidP="00A93B53">
      <w:bookmarkStart w:id="74" w:name="_Toc340647321"/>
      <w:r w:rsidRPr="00F66A06">
        <w:t>Regras gerais</w:t>
      </w:r>
      <w:bookmarkEnd w:id="74"/>
    </w:p>
    <w:p w:rsidR="00A93B53" w:rsidRPr="00F66A06" w:rsidRDefault="00A93B53" w:rsidP="00A93B53">
      <w:r w:rsidRPr="00F66A06">
        <w:t>Os benefícios devem-se, fundamentalmente, à diminuição tensional per se;</w:t>
      </w:r>
    </w:p>
    <w:p w:rsidR="00A93B53" w:rsidRPr="00F66A06" w:rsidRDefault="00A93B53" w:rsidP="00A93B53">
      <w:r w:rsidRPr="00F66A06">
        <w:t xml:space="preserve">Em geral são necessárias combinações farmacológicas para atingir as metas tensionais desejáveis, a </w:t>
      </w:r>
      <w:proofErr w:type="spellStart"/>
      <w:r w:rsidRPr="00F66A06">
        <w:t>selecção</w:t>
      </w:r>
      <w:proofErr w:type="spellEnd"/>
      <w:r w:rsidRPr="00F66A06">
        <w:t xml:space="preserve"> do fármaco para começar o tratamento pode considerar-se pouco útil;</w:t>
      </w:r>
    </w:p>
    <w:p w:rsidR="00A93B53" w:rsidRPr="00F66A06" w:rsidRDefault="00A93B53" w:rsidP="00A93B53">
      <w:r w:rsidRPr="00F66A06">
        <w:t xml:space="preserve">Para se iniciar o tratamento </w:t>
      </w:r>
      <w:proofErr w:type="spellStart"/>
      <w:r w:rsidRPr="00F66A06">
        <w:t>antihipertensor</w:t>
      </w:r>
      <w:proofErr w:type="spellEnd"/>
      <w:r w:rsidRPr="00F66A06">
        <w:t xml:space="preserve"> e fazer o seguimento da terapêutica são elegíveis 5 tipos de fármacos, isolados ou em combinação:</w:t>
      </w:r>
    </w:p>
    <w:p w:rsidR="00A93B53" w:rsidRPr="00F66A06" w:rsidRDefault="00A93B53" w:rsidP="00A93B53">
      <w:proofErr w:type="spellStart"/>
      <w:r w:rsidRPr="00F66A06">
        <w:t>Tiazidas</w:t>
      </w:r>
      <w:proofErr w:type="spellEnd"/>
      <w:r w:rsidRPr="00F66A06">
        <w:t>;</w:t>
      </w:r>
    </w:p>
    <w:p w:rsidR="00A93B53" w:rsidRPr="00F66A06" w:rsidRDefault="00A93B53" w:rsidP="00A93B53">
      <w:r w:rsidRPr="00F66A06">
        <w:t>Antagonistas do Cálcio;</w:t>
      </w:r>
    </w:p>
    <w:p w:rsidR="00A93B53" w:rsidRPr="00F66A06" w:rsidRDefault="00A93B53" w:rsidP="00A93B53">
      <w:r w:rsidRPr="00F66A06">
        <w:t>IECA;</w:t>
      </w:r>
    </w:p>
    <w:p w:rsidR="00A93B53" w:rsidRPr="00F66A06" w:rsidRDefault="00A93B53" w:rsidP="00A93B53">
      <w:r w:rsidRPr="00F66A06">
        <w:t>ARA-II; e</w:t>
      </w:r>
    </w:p>
    <w:p w:rsidR="00A93B53" w:rsidRPr="00F66A06" w:rsidRDefault="00A93B53" w:rsidP="00A93B53">
      <w:r w:rsidRPr="00F66A06">
        <w:t>ß- bloqueantes.</w:t>
      </w:r>
    </w:p>
    <w:p w:rsidR="00A93B53" w:rsidRPr="00F66A06" w:rsidRDefault="00A93B53" w:rsidP="00A93B53"/>
    <w:p w:rsidR="00A93B53" w:rsidRPr="00F66A06" w:rsidRDefault="00A93B53" w:rsidP="00A93B53">
      <w:r w:rsidRPr="00F66A06">
        <w:br w:type="page"/>
      </w:r>
      <w:r w:rsidRPr="00F66A06">
        <w:lastRenderedPageBreak/>
        <w:t>Notas:</w:t>
      </w:r>
    </w:p>
    <w:p w:rsidR="00A93B53" w:rsidRPr="00F66A06" w:rsidRDefault="00A93B53" w:rsidP="00A93B53">
      <w:r w:rsidRPr="00F66A06">
        <w:t xml:space="preserve">Os ß-bloqueantes, sobretudo em combinação com as </w:t>
      </w:r>
      <w:proofErr w:type="spellStart"/>
      <w:r w:rsidRPr="00F66A06">
        <w:t>tiazidas</w:t>
      </w:r>
      <w:proofErr w:type="spellEnd"/>
      <w:r w:rsidRPr="00F66A06">
        <w:t>, não se devem usar em doentes com SM ou com elevado risco de desenvolver DM;</w:t>
      </w:r>
    </w:p>
    <w:p w:rsidR="00A93B53" w:rsidRPr="00F66A06" w:rsidRDefault="00A93B53" w:rsidP="00A93B53">
      <w:r w:rsidRPr="00F66A06">
        <w:t>Investigar ou ter presentes os efeitos adversos das drogas visto serem a principal causa de abandono da terapêutica;</w:t>
      </w:r>
    </w:p>
    <w:p w:rsidR="00A93B53" w:rsidRPr="00F66A06" w:rsidRDefault="00A93B53" w:rsidP="00A93B53">
      <w:r w:rsidRPr="00F66A06">
        <w:t xml:space="preserve">Dar-se preferência aos fármacos de </w:t>
      </w:r>
      <w:proofErr w:type="spellStart"/>
      <w:r w:rsidRPr="00F66A06">
        <w:t>acção</w:t>
      </w:r>
      <w:proofErr w:type="spellEnd"/>
      <w:r w:rsidRPr="00F66A06">
        <w:t xml:space="preserve"> prolongada que façam a cobertura das 24 horas com uma única dose para prevenir a perigosa subida matinal da TA e para proteger sem picos lesivos devido ao esquecimento de uma dose;</w:t>
      </w:r>
    </w:p>
    <w:p w:rsidR="00A93B53" w:rsidRPr="00F66A06" w:rsidRDefault="00A93B53" w:rsidP="00A93B53">
      <w:r w:rsidRPr="00F66A06">
        <w:t>Muito importante ter em conta as anteriores experiências com fármacos em cada doente;</w:t>
      </w:r>
    </w:p>
    <w:p w:rsidR="00A93B53" w:rsidRPr="00F66A06" w:rsidRDefault="00A93B53" w:rsidP="00A93B53">
      <w:r w:rsidRPr="00F66A06">
        <w:t xml:space="preserve">Escolher os fármacos que </w:t>
      </w:r>
      <w:proofErr w:type="gramStart"/>
      <w:r w:rsidRPr="00F66A06">
        <w:t>melhor impacto provoquem</w:t>
      </w:r>
      <w:proofErr w:type="gramEnd"/>
      <w:r w:rsidRPr="00F66A06">
        <w:t xml:space="preserve"> sobre o risco global do doente e não apenas sobre a TA;</w:t>
      </w:r>
    </w:p>
    <w:p w:rsidR="00A93B53" w:rsidRPr="00F66A06" w:rsidRDefault="00A93B53" w:rsidP="00A93B53">
      <w:r w:rsidRPr="00F66A06">
        <w:t xml:space="preserve">Ter em conta as </w:t>
      </w:r>
      <w:proofErr w:type="spellStart"/>
      <w:r w:rsidRPr="00F66A06">
        <w:t>interacções</w:t>
      </w:r>
      <w:proofErr w:type="spellEnd"/>
      <w:r w:rsidRPr="00F66A06">
        <w:t xml:space="preserve"> medicamentosas (ex.: os AINE diminuem os efeitos dos IECA, ARA-II e diuréticos) sobretudo nos idosos </w:t>
      </w:r>
      <w:proofErr w:type="spellStart"/>
      <w:r w:rsidRPr="00F66A06">
        <w:t>polimedicados</w:t>
      </w:r>
      <w:proofErr w:type="spellEnd"/>
      <w:r w:rsidRPr="00F66A06">
        <w:t>;</w:t>
      </w:r>
    </w:p>
    <w:p w:rsidR="00A93B53" w:rsidRPr="00F66A06" w:rsidRDefault="00A93B53" w:rsidP="00A93B53">
      <w:r w:rsidRPr="00F66A06">
        <w:t>Considerar o custo preferindo sempre que possível a instituição de um fármaco genérico</w:t>
      </w:r>
    </w:p>
    <w:p w:rsidR="00A93B53" w:rsidRPr="00F66A06" w:rsidRDefault="00A93B53" w:rsidP="00A93B53"/>
    <w:p w:rsidR="00A93B53" w:rsidRPr="00F66A06" w:rsidRDefault="00A93B53" w:rsidP="003F23F7">
      <w:pPr>
        <w:pStyle w:val="Ttulo2"/>
      </w:pPr>
      <w:bookmarkStart w:id="75" w:name="_Toc340647322"/>
      <w:r w:rsidRPr="00F66A06">
        <w:t>Combinações de Fármacos anti-hipertensores</w:t>
      </w:r>
      <w:bookmarkEnd w:id="75"/>
    </w:p>
    <w:p w:rsidR="00A93B53" w:rsidRPr="00F66A06" w:rsidRDefault="00A93B53" w:rsidP="00A93B53">
      <w:r w:rsidRPr="00F66A06">
        <w:t xml:space="preserve">A maioria dos hipertensos não consegue alcançar o sucesso terapêutico desejado em </w:t>
      </w:r>
      <w:proofErr w:type="spellStart"/>
      <w:r w:rsidRPr="00F66A06">
        <w:t>monoterapia</w:t>
      </w:r>
      <w:proofErr w:type="spellEnd"/>
      <w:r w:rsidRPr="00F66A06">
        <w:t xml:space="preserve"> e necessita de combinações farmacológicas;</w:t>
      </w:r>
    </w:p>
    <w:p w:rsidR="00A93B53" w:rsidRPr="00F66A06" w:rsidRDefault="00A93B53" w:rsidP="00A93B53">
      <w:r w:rsidRPr="00F66A06">
        <w:t xml:space="preserve">A terapia inicial pode ser em </w:t>
      </w:r>
      <w:proofErr w:type="spellStart"/>
      <w:r w:rsidRPr="00F66A06">
        <w:t>monoterapia</w:t>
      </w:r>
      <w:proofErr w:type="spellEnd"/>
      <w:r w:rsidRPr="00F66A06">
        <w:t xml:space="preserve"> ou em associações de fármacos em doses baixas e quando não se alcança o efeito terapêutico desejado a dose deve ser aumentada. Também se pode iniciar o tratamento da HTA com uma combinação de fármacos em doses baixas que, em geral, deverão ter coerência farmacocinética e mecanismos complementares e, se possível, atenuar os efeitos adversos de outro fármaco;</w:t>
      </w:r>
    </w:p>
    <w:p w:rsidR="00A93B53" w:rsidRPr="00F66A06" w:rsidRDefault="00A93B53" w:rsidP="00A93B53">
      <w:r w:rsidRPr="00F66A06">
        <w:t>As combinações fixas de fármacos favorecem a adesão ao tratamento;</w:t>
      </w:r>
    </w:p>
    <w:p w:rsidR="00A93B53" w:rsidRPr="00F66A06" w:rsidRDefault="00A93B53" w:rsidP="00A93B53">
      <w:r w:rsidRPr="00F66A06">
        <w:t>Por vezes é necessário a combinação de 3 ou 4 fármacos para atingir as metas tensionais;</w:t>
      </w:r>
    </w:p>
    <w:p w:rsidR="00A93B53" w:rsidRPr="00F66A06" w:rsidRDefault="00A93B53" w:rsidP="00A93B53">
      <w:r w:rsidRPr="00F66A06">
        <w:t>A prescrição das doses deve ser mais lenta em hipertensos não complicados e em idosos. Em hipertensos de elevado risco deve-se chegar às metas mais depressa, pelo que nesses doentes se recomenda o início da terapêutica com associações de fármacos;</w:t>
      </w:r>
    </w:p>
    <w:p w:rsidR="00A93B53" w:rsidRPr="00F66A06" w:rsidRDefault="00A93B53" w:rsidP="00A93B53">
      <w:r w:rsidRPr="00F66A06">
        <w:lastRenderedPageBreak/>
        <w:t xml:space="preserve">A </w:t>
      </w:r>
      <w:proofErr w:type="spellStart"/>
      <w:r w:rsidRPr="00F66A06">
        <w:t>monoterapia</w:t>
      </w:r>
      <w:proofErr w:type="spellEnd"/>
      <w:r w:rsidRPr="00F66A06">
        <w:t xml:space="preserve"> inicial pode ser uma boa opção em hipertensos ligeiros e com risco CV baixo ou moderado;</w:t>
      </w:r>
    </w:p>
    <w:p w:rsidR="00A93B53" w:rsidRPr="00F66A06" w:rsidRDefault="00A93B53" w:rsidP="00A93B53"/>
    <w:p w:rsidR="00A93B53" w:rsidRPr="00F66A06" w:rsidRDefault="00A93B53" w:rsidP="00A93B53">
      <w:r w:rsidRPr="00F66A06">
        <w:t>As associações de fármacos devem ser preferidas logo desde o início em hipertensos nos graus 2 e 3, ou em doentes com risco elevado ou muito elevado.</w:t>
      </w:r>
    </w:p>
    <w:p w:rsidR="00A93B53" w:rsidRPr="00F66A06" w:rsidRDefault="00A93B53" w:rsidP="00A93B53"/>
    <w:p w:rsidR="00A93B53" w:rsidRPr="00F66A06" w:rsidRDefault="002E47C0" w:rsidP="00A93B53">
      <w:r w:rsidRPr="00F66A06">
        <w:rPr>
          <w:noProof/>
          <w:lang w:eastAsia="pt-PT"/>
        </w:rPr>
        <w:drawing>
          <wp:inline distT="0" distB="0" distL="0" distR="0">
            <wp:extent cx="5404485" cy="3630295"/>
            <wp:effectExtent l="0" t="0" r="0" b="0"/>
            <wp:docPr id="5" name="Imagem 15" descr="H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 descr="HT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B53" w:rsidRPr="00F66A06" w:rsidRDefault="00A93B53" w:rsidP="00A93B53"/>
    <w:p w:rsidR="00A93B53" w:rsidRPr="00F66A06" w:rsidRDefault="00A93B53" w:rsidP="00A93B53"/>
    <w:p w:rsidR="00A93B53" w:rsidRPr="00F66A06" w:rsidRDefault="00A93B53" w:rsidP="00A93B53"/>
    <w:p w:rsidR="00A93B53" w:rsidRPr="00F66A06" w:rsidRDefault="00A93B53" w:rsidP="00A93B53">
      <w:bookmarkStart w:id="76" w:name="_Toc340647323"/>
      <w:bookmarkStart w:id="77" w:name="_Toc382865759"/>
      <w:bookmarkStart w:id="78" w:name="_Toc382866038"/>
      <w:bookmarkStart w:id="79" w:name="_Toc422524131"/>
      <w:bookmarkStart w:id="80" w:name="_Toc422525617"/>
      <w:r w:rsidRPr="00F66A06">
        <w:t xml:space="preserve">Recomendações de escolha de grupos farmacológicos de </w:t>
      </w:r>
      <w:proofErr w:type="spellStart"/>
      <w:r w:rsidRPr="00F66A06">
        <w:t>antihipertensores</w:t>
      </w:r>
      <w:bookmarkEnd w:id="76"/>
      <w:bookmarkEnd w:id="77"/>
      <w:bookmarkEnd w:id="78"/>
      <w:bookmarkEnd w:id="79"/>
      <w:bookmarkEnd w:id="80"/>
      <w:proofErr w:type="spellEnd"/>
    </w:p>
    <w:p w:rsidR="00536339" w:rsidRDefault="00536339">
      <w:pPr>
        <w:autoSpaceDE/>
        <w:autoSpaceDN/>
        <w:adjustRightInd/>
        <w:spacing w:after="0" w:line="240" w:lineRule="auto"/>
        <w:ind w:firstLine="0"/>
        <w:jc w:val="left"/>
      </w:pPr>
      <w:r>
        <w:br w:type="page"/>
      </w:r>
    </w:p>
    <w:p w:rsidR="00A93B53" w:rsidRPr="00F66A06" w:rsidRDefault="00A93B53" w:rsidP="00A93B53">
      <w:r w:rsidRPr="00F66A06">
        <w:lastRenderedPageBreak/>
        <w:t>O quadro seguinte resume as principais recomendações de classes farmacológicas de anti hipertensores em função das patologias do doente:</w:t>
      </w:r>
    </w:p>
    <w:p w:rsidR="00A93B53" w:rsidRPr="00F66A06" w:rsidRDefault="00A93B53" w:rsidP="00A93B53"/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1E0" w:firstRow="1" w:lastRow="1" w:firstColumn="1" w:lastColumn="1" w:noHBand="0" w:noVBand="0"/>
      </w:tblPr>
      <w:tblGrid>
        <w:gridCol w:w="2547"/>
        <w:gridCol w:w="4939"/>
      </w:tblGrid>
      <w:tr w:rsidR="00A93B53" w:rsidRPr="00F66A06" w:rsidTr="004F4BDD">
        <w:tc>
          <w:tcPr>
            <w:tcW w:w="2547" w:type="dxa"/>
            <w:shd w:val="clear" w:color="auto" w:fill="C0504D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color w:val="FFFFFF"/>
                <w:sz w:val="22"/>
              </w:rPr>
            </w:pPr>
            <w:r w:rsidRPr="00F66A06">
              <w:rPr>
                <w:rFonts w:cs="Arial"/>
                <w:b/>
                <w:bCs/>
                <w:color w:val="FFFFFF"/>
                <w:sz w:val="22"/>
              </w:rPr>
              <w:t>Patologia</w:t>
            </w:r>
          </w:p>
        </w:tc>
        <w:tc>
          <w:tcPr>
            <w:tcW w:w="4939" w:type="dxa"/>
            <w:shd w:val="clear" w:color="auto" w:fill="C0504D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color w:val="FFFFFF"/>
                <w:sz w:val="22"/>
              </w:rPr>
            </w:pPr>
            <w:r w:rsidRPr="00F66A06">
              <w:rPr>
                <w:rFonts w:cs="Arial"/>
                <w:b/>
                <w:bCs/>
                <w:color w:val="FFFFFF"/>
                <w:sz w:val="22"/>
              </w:rPr>
              <w:t>Opções iniciais de Terapêutica</w:t>
            </w:r>
          </w:p>
        </w:tc>
      </w:tr>
      <w:tr w:rsidR="00A93B53" w:rsidRPr="00F66A06" w:rsidTr="004F4BDD">
        <w:tc>
          <w:tcPr>
            <w:tcW w:w="254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ICC</w:t>
            </w:r>
          </w:p>
        </w:tc>
        <w:tc>
          <w:tcPr>
            <w:tcW w:w="4939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TZD, BB, IECA, ARA II, antagonista da aldosterona</w:t>
            </w:r>
          </w:p>
        </w:tc>
      </w:tr>
      <w:tr w:rsidR="00A93B53" w:rsidRPr="00F66A06" w:rsidTr="004F4BDD">
        <w:tc>
          <w:tcPr>
            <w:tcW w:w="2547" w:type="dxa"/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Pós-EAM</w:t>
            </w:r>
          </w:p>
        </w:tc>
        <w:tc>
          <w:tcPr>
            <w:tcW w:w="4939" w:type="dxa"/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BB, IECA, antagonista da aldosterona</w:t>
            </w:r>
          </w:p>
        </w:tc>
      </w:tr>
      <w:tr w:rsidR="00A93B53" w:rsidRPr="00F66A06" w:rsidTr="004F4BDD">
        <w:tc>
          <w:tcPr>
            <w:tcW w:w="254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Alto risco de DCV</w:t>
            </w:r>
          </w:p>
        </w:tc>
        <w:tc>
          <w:tcPr>
            <w:tcW w:w="4939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TZD, BB, IECA, Bloqueador CC</w:t>
            </w:r>
          </w:p>
        </w:tc>
      </w:tr>
      <w:tr w:rsidR="00A93B53" w:rsidRPr="00F66A06" w:rsidTr="004F4BDD">
        <w:tc>
          <w:tcPr>
            <w:tcW w:w="2547" w:type="dxa"/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Diabetes</w:t>
            </w:r>
          </w:p>
        </w:tc>
        <w:tc>
          <w:tcPr>
            <w:tcW w:w="4939" w:type="dxa"/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TZA, BB, IECA, ARA II, Bloqueador CC</w:t>
            </w:r>
          </w:p>
        </w:tc>
      </w:tr>
      <w:tr w:rsidR="00A93B53" w:rsidRPr="00F66A06" w:rsidTr="004F4BDD">
        <w:tc>
          <w:tcPr>
            <w:tcW w:w="254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Nefropatia crónica</w:t>
            </w:r>
          </w:p>
        </w:tc>
        <w:tc>
          <w:tcPr>
            <w:tcW w:w="4939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IECA, ARA II</w:t>
            </w:r>
          </w:p>
        </w:tc>
      </w:tr>
      <w:tr w:rsidR="00A93B53" w:rsidRPr="00F66A06" w:rsidTr="004F4BDD">
        <w:tc>
          <w:tcPr>
            <w:tcW w:w="2547" w:type="dxa"/>
            <w:tcBorders>
              <w:top w:val="double" w:sz="6" w:space="0" w:color="C0504D"/>
              <w:left w:val="single" w:sz="8" w:space="0" w:color="C0504D"/>
              <w:bottom w:val="single" w:sz="8" w:space="0" w:color="C0504D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AVC recorrente</w:t>
            </w:r>
          </w:p>
        </w:tc>
        <w:tc>
          <w:tcPr>
            <w:tcW w:w="4939" w:type="dxa"/>
            <w:tcBorders>
              <w:top w:val="double" w:sz="6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TZD, IECA</w:t>
            </w:r>
          </w:p>
        </w:tc>
      </w:tr>
    </w:tbl>
    <w:p w:rsidR="00A93B53" w:rsidRPr="00F66A06" w:rsidRDefault="00A93B53" w:rsidP="00A93B53"/>
    <w:p w:rsidR="00A93B53" w:rsidRPr="00F66A06" w:rsidRDefault="00A93B53" w:rsidP="0056361A">
      <w:pPr>
        <w:pStyle w:val="Ttulo1"/>
      </w:pPr>
      <w:bookmarkStart w:id="81" w:name="_Toc340647324"/>
      <w:bookmarkStart w:id="82" w:name="_Toc382865760"/>
      <w:bookmarkStart w:id="83" w:name="_Toc382866039"/>
      <w:bookmarkStart w:id="84" w:name="_Toc422524132"/>
      <w:bookmarkStart w:id="85" w:name="_Toc422525618"/>
      <w:bookmarkStart w:id="86" w:name="_Hlk7377451"/>
      <w:r w:rsidRPr="00F66A06">
        <w:t>Procedimentos</w:t>
      </w:r>
      <w:bookmarkEnd w:id="81"/>
      <w:bookmarkEnd w:id="82"/>
      <w:bookmarkEnd w:id="83"/>
      <w:bookmarkEnd w:id="84"/>
      <w:bookmarkEnd w:id="85"/>
    </w:p>
    <w:tbl>
      <w:tblPr>
        <w:tblStyle w:val="TabeladeLista3-Destaque21"/>
        <w:tblW w:w="0" w:type="auto"/>
        <w:tblLook w:val="04A0" w:firstRow="1" w:lastRow="0" w:firstColumn="1" w:lastColumn="0" w:noHBand="0" w:noVBand="1"/>
      </w:tblPr>
      <w:tblGrid>
        <w:gridCol w:w="1382"/>
        <w:gridCol w:w="7112"/>
      </w:tblGrid>
      <w:tr w:rsidR="0056361A" w:rsidRPr="00F66A06" w:rsidTr="00563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:rsidR="0056361A" w:rsidRPr="00F66A06" w:rsidRDefault="0056361A" w:rsidP="004F4BDD">
            <w:pPr>
              <w:pStyle w:val="cabecalh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Profissional</w:t>
            </w:r>
          </w:p>
        </w:tc>
        <w:tc>
          <w:tcPr>
            <w:tcW w:w="7260" w:type="dxa"/>
          </w:tcPr>
          <w:p w:rsidR="0056361A" w:rsidRPr="00F66A06" w:rsidRDefault="0056361A" w:rsidP="0056361A">
            <w:pPr>
              <w:pStyle w:val="cabecalh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Tarefas</w:t>
            </w:r>
          </w:p>
        </w:tc>
      </w:tr>
      <w:tr w:rsidR="00A93B53" w:rsidRPr="00F66A06" w:rsidTr="0056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Secretário</w:t>
            </w:r>
          </w:p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Clínico</w:t>
            </w:r>
          </w:p>
        </w:tc>
        <w:tc>
          <w:tcPr>
            <w:tcW w:w="7260" w:type="dxa"/>
          </w:tcPr>
          <w:p w:rsidR="00A93B53" w:rsidRPr="00F66A06" w:rsidRDefault="00A93B53" w:rsidP="004F4BDD">
            <w:pPr>
              <w:pStyle w:val="cabecalh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proofErr w:type="spellStart"/>
            <w:r w:rsidRPr="00F66A06">
              <w:rPr>
                <w:rFonts w:cs="Arial"/>
                <w:sz w:val="22"/>
              </w:rPr>
              <w:t>Recepção</w:t>
            </w:r>
            <w:proofErr w:type="spellEnd"/>
            <w:r w:rsidRPr="00F66A06">
              <w:rPr>
                <w:rFonts w:cs="Arial"/>
                <w:sz w:val="22"/>
              </w:rPr>
              <w:t xml:space="preserve"> ao utente</w:t>
            </w:r>
          </w:p>
          <w:p w:rsidR="00A93B53" w:rsidRPr="00F66A06" w:rsidRDefault="00A93B53" w:rsidP="004F4BDD">
            <w:pPr>
              <w:pStyle w:val="cabecalh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 xml:space="preserve">Confirmação de dados administrativos: composição do agregado, isenção de </w:t>
            </w:r>
            <w:proofErr w:type="spellStart"/>
            <w:r w:rsidRPr="00F66A06">
              <w:rPr>
                <w:rFonts w:cs="Arial"/>
                <w:sz w:val="22"/>
              </w:rPr>
              <w:t>TM’s</w:t>
            </w:r>
            <w:proofErr w:type="spellEnd"/>
            <w:r w:rsidRPr="00F66A06">
              <w:rPr>
                <w:rFonts w:cs="Arial"/>
                <w:sz w:val="22"/>
              </w:rPr>
              <w:t xml:space="preserve">, </w:t>
            </w:r>
            <w:proofErr w:type="spellStart"/>
            <w:r w:rsidRPr="00F66A06">
              <w:rPr>
                <w:rFonts w:cs="Arial"/>
                <w:sz w:val="22"/>
              </w:rPr>
              <w:t>TM’s</w:t>
            </w:r>
            <w:proofErr w:type="spellEnd"/>
            <w:r w:rsidRPr="00F66A06">
              <w:rPr>
                <w:rFonts w:cs="Arial"/>
                <w:sz w:val="22"/>
              </w:rPr>
              <w:t xml:space="preserve"> em dívida</w:t>
            </w:r>
          </w:p>
          <w:p w:rsidR="00A93B53" w:rsidRPr="00F66A06" w:rsidRDefault="00A93B53" w:rsidP="004F4BDD">
            <w:pPr>
              <w:pStyle w:val="cabecalh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proofErr w:type="spellStart"/>
            <w:r w:rsidRPr="00F66A06">
              <w:rPr>
                <w:rFonts w:cs="Arial"/>
                <w:sz w:val="22"/>
              </w:rPr>
              <w:t>Activação</w:t>
            </w:r>
            <w:proofErr w:type="spellEnd"/>
            <w:r w:rsidRPr="00F66A06">
              <w:rPr>
                <w:rFonts w:cs="Arial"/>
                <w:sz w:val="22"/>
              </w:rPr>
              <w:t xml:space="preserve"> do contacto médico ou de enfermagem</w:t>
            </w:r>
          </w:p>
          <w:p w:rsidR="00A93B53" w:rsidRPr="00F66A06" w:rsidRDefault="00A93B53" w:rsidP="004F4BDD">
            <w:pPr>
              <w:pStyle w:val="cabecalh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Gestão das faltas: reconvocação dos utentes</w:t>
            </w:r>
          </w:p>
        </w:tc>
      </w:tr>
      <w:tr w:rsidR="00A93B53" w:rsidRPr="00F66A06" w:rsidTr="005636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Enfermeiro</w:t>
            </w:r>
          </w:p>
        </w:tc>
        <w:tc>
          <w:tcPr>
            <w:tcW w:w="7260" w:type="dxa"/>
          </w:tcPr>
          <w:p w:rsidR="00A93B53" w:rsidRPr="00F66A06" w:rsidRDefault="00A93B53" w:rsidP="004F4BDD">
            <w:pPr>
              <w:pStyle w:val="cabecalh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Acolhimento do utente</w:t>
            </w:r>
          </w:p>
          <w:p w:rsidR="00A93B53" w:rsidRPr="00F66A06" w:rsidRDefault="00A93B53" w:rsidP="004F4BDD">
            <w:pPr>
              <w:pStyle w:val="cabecalh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Realização da avaliação dos dados biométricos, incluindo TA</w:t>
            </w:r>
          </w:p>
          <w:p w:rsidR="00A93B53" w:rsidRPr="00F66A06" w:rsidRDefault="00A93B53" w:rsidP="004F4BDD">
            <w:pPr>
              <w:pStyle w:val="cabecalh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Ensino sobre estilos de vida</w:t>
            </w:r>
          </w:p>
          <w:p w:rsidR="00A93B53" w:rsidRPr="00F66A06" w:rsidRDefault="00A93B53" w:rsidP="004F4BDD">
            <w:pPr>
              <w:pStyle w:val="cabecalh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Confirmar adesão à terapêutica</w:t>
            </w:r>
          </w:p>
          <w:p w:rsidR="00A93B53" w:rsidRPr="00F66A06" w:rsidRDefault="00A93B53" w:rsidP="004F4BDD">
            <w:pPr>
              <w:pStyle w:val="cabecalh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Confirmação do cumprimento do PNV</w:t>
            </w:r>
          </w:p>
          <w:p w:rsidR="00A93B53" w:rsidRPr="00F66A06" w:rsidRDefault="00A93B53" w:rsidP="004F4BDD">
            <w:pPr>
              <w:pStyle w:val="cabecalh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Verificar adesão aos programas de vigilância adequados à faixa etária; motivar para os mesmos.</w:t>
            </w:r>
          </w:p>
          <w:p w:rsidR="00A93B53" w:rsidRPr="00F66A06" w:rsidRDefault="00A93B53" w:rsidP="004F4BDD">
            <w:pPr>
              <w:pStyle w:val="cabecalh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 xml:space="preserve">Realizar ensinos sobre medidas </w:t>
            </w:r>
            <w:proofErr w:type="spellStart"/>
            <w:r w:rsidRPr="00F66A06">
              <w:rPr>
                <w:rFonts w:cs="Arial"/>
                <w:sz w:val="22"/>
              </w:rPr>
              <w:t>higieno</w:t>
            </w:r>
            <w:proofErr w:type="spellEnd"/>
            <w:r w:rsidRPr="00F66A06">
              <w:rPr>
                <w:rFonts w:cs="Arial"/>
                <w:sz w:val="22"/>
              </w:rPr>
              <w:t>-dietéticas</w:t>
            </w:r>
          </w:p>
        </w:tc>
      </w:tr>
      <w:tr w:rsidR="00A93B53" w:rsidRPr="00F66A06" w:rsidTr="0056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Médico</w:t>
            </w:r>
          </w:p>
        </w:tc>
        <w:tc>
          <w:tcPr>
            <w:tcW w:w="7260" w:type="dxa"/>
          </w:tcPr>
          <w:p w:rsidR="00A93B53" w:rsidRPr="00F66A06" w:rsidRDefault="00A93B53" w:rsidP="004F4BDD">
            <w:pPr>
              <w:pStyle w:val="cabecalh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proofErr w:type="spellStart"/>
            <w:r w:rsidRPr="00F66A06">
              <w:rPr>
                <w:rFonts w:cs="Arial"/>
                <w:sz w:val="22"/>
              </w:rPr>
              <w:t>Efectua</w:t>
            </w:r>
            <w:proofErr w:type="spellEnd"/>
            <w:r w:rsidRPr="00F66A06">
              <w:rPr>
                <w:rFonts w:cs="Arial"/>
                <w:sz w:val="22"/>
              </w:rPr>
              <w:t xml:space="preserve"> exame clínico</w:t>
            </w:r>
          </w:p>
          <w:p w:rsidR="00A93B53" w:rsidRPr="00F66A06" w:rsidRDefault="00A93B53" w:rsidP="004F4BDD">
            <w:pPr>
              <w:pStyle w:val="cabecalh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Determinação do Risco Cardiovascular Global; registo do mesmo</w:t>
            </w:r>
          </w:p>
          <w:p w:rsidR="00A93B53" w:rsidRPr="00F66A06" w:rsidRDefault="00A93B53" w:rsidP="004F4BDD">
            <w:pPr>
              <w:pStyle w:val="cabecalh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Preencher adequadamente registo SOAP com os códigos ICPC-2. Registo em texto livre de dados clínicos relevantes</w:t>
            </w:r>
          </w:p>
          <w:p w:rsidR="00A93B53" w:rsidRPr="00F66A06" w:rsidRDefault="00A93B53" w:rsidP="004F4BDD">
            <w:pPr>
              <w:pStyle w:val="cabecalh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 xml:space="preserve">Reforça importância dos ensinos </w:t>
            </w:r>
            <w:proofErr w:type="spellStart"/>
            <w:r w:rsidRPr="00F66A06">
              <w:rPr>
                <w:rFonts w:cs="Arial"/>
                <w:sz w:val="22"/>
              </w:rPr>
              <w:t>efectuados</w:t>
            </w:r>
            <w:proofErr w:type="spellEnd"/>
            <w:r w:rsidRPr="00F66A06">
              <w:rPr>
                <w:rFonts w:cs="Arial"/>
                <w:sz w:val="22"/>
              </w:rPr>
              <w:t xml:space="preserve"> pela equipa de enfermagem</w:t>
            </w:r>
          </w:p>
          <w:p w:rsidR="00A93B53" w:rsidRPr="00F66A06" w:rsidRDefault="00A93B53" w:rsidP="004F4BDD">
            <w:pPr>
              <w:pStyle w:val="cabecalh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Completa registos informáticos já existentes</w:t>
            </w:r>
          </w:p>
          <w:p w:rsidR="00A93B53" w:rsidRPr="00F66A06" w:rsidRDefault="00A93B53" w:rsidP="004F4BDD">
            <w:pPr>
              <w:pStyle w:val="cabecalh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 xml:space="preserve">Aproveita todos os contactos para </w:t>
            </w:r>
            <w:proofErr w:type="spellStart"/>
            <w:r w:rsidRPr="00F66A06">
              <w:rPr>
                <w:rFonts w:cs="Arial"/>
                <w:sz w:val="22"/>
              </w:rPr>
              <w:t>activar</w:t>
            </w:r>
            <w:proofErr w:type="spellEnd"/>
            <w:r w:rsidRPr="00F66A06">
              <w:rPr>
                <w:rFonts w:cs="Arial"/>
                <w:sz w:val="22"/>
              </w:rPr>
              <w:t xml:space="preserve"> e </w:t>
            </w:r>
            <w:proofErr w:type="spellStart"/>
            <w:r w:rsidRPr="00F66A06">
              <w:rPr>
                <w:rFonts w:cs="Arial"/>
                <w:sz w:val="22"/>
              </w:rPr>
              <w:t>actualizar</w:t>
            </w:r>
            <w:proofErr w:type="spellEnd"/>
            <w:r w:rsidRPr="00F66A06">
              <w:rPr>
                <w:rFonts w:cs="Arial"/>
                <w:sz w:val="22"/>
              </w:rPr>
              <w:t xml:space="preserve"> dados dos vários programas de vigilância se indicados</w:t>
            </w:r>
          </w:p>
          <w:p w:rsidR="00A93B53" w:rsidRPr="00F66A06" w:rsidRDefault="00A93B53" w:rsidP="004F4BDD">
            <w:pPr>
              <w:pStyle w:val="cabecalh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Promove adesão aos programas de vigilância preconizados pela USF</w:t>
            </w:r>
          </w:p>
          <w:p w:rsidR="00A93B53" w:rsidRPr="00F66A06" w:rsidRDefault="00536339" w:rsidP="004F4BDD">
            <w:pPr>
              <w:pStyle w:val="cabecalh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Sugere a próxima consulta, deixando-a</w:t>
            </w:r>
            <w:r>
              <w:rPr>
                <w:rFonts w:cs="Arial"/>
                <w:sz w:val="22"/>
              </w:rPr>
              <w:t xml:space="preserve"> sempre agendada</w:t>
            </w:r>
            <w:r w:rsidRPr="00F66A06">
              <w:rPr>
                <w:rFonts w:cs="Arial"/>
                <w:sz w:val="22"/>
              </w:rPr>
              <w:t>.</w:t>
            </w:r>
          </w:p>
        </w:tc>
      </w:tr>
    </w:tbl>
    <w:p w:rsidR="00A93B53" w:rsidRPr="00F66A06" w:rsidRDefault="00A93B53" w:rsidP="00A93B53"/>
    <w:p w:rsidR="00A93B53" w:rsidRPr="00F66A06" w:rsidRDefault="00A93B53" w:rsidP="00A93B53">
      <w:r w:rsidRPr="00F66A06">
        <w:br w:type="page"/>
      </w:r>
    </w:p>
    <w:tbl>
      <w:tblPr>
        <w:tblStyle w:val="Tabelacomgrelha1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tblLook w:val="01E0" w:firstRow="1" w:lastRow="1" w:firstColumn="1" w:lastColumn="1" w:noHBand="0" w:noVBand="0"/>
      </w:tblPr>
      <w:tblGrid>
        <w:gridCol w:w="3600"/>
        <w:gridCol w:w="2038"/>
        <w:gridCol w:w="2520"/>
      </w:tblGrid>
      <w:tr w:rsidR="00A93B53" w:rsidRPr="00F66A06" w:rsidTr="0056361A">
        <w:tc>
          <w:tcPr>
            <w:tcW w:w="3600" w:type="dxa"/>
            <w:shd w:val="clear" w:color="auto" w:fill="C00000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color w:val="FFFFFF"/>
                <w:sz w:val="22"/>
              </w:rPr>
            </w:pPr>
          </w:p>
        </w:tc>
        <w:tc>
          <w:tcPr>
            <w:tcW w:w="2038" w:type="dxa"/>
            <w:shd w:val="clear" w:color="auto" w:fill="C00000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color w:val="FFFFFF"/>
                <w:sz w:val="22"/>
              </w:rPr>
            </w:pPr>
            <w:r w:rsidRPr="00F66A06">
              <w:rPr>
                <w:rFonts w:cs="Arial"/>
                <w:b/>
                <w:bCs/>
                <w:color w:val="FFFFFF"/>
                <w:sz w:val="22"/>
              </w:rPr>
              <w:t>Periodicidade</w:t>
            </w:r>
          </w:p>
        </w:tc>
        <w:tc>
          <w:tcPr>
            <w:tcW w:w="2520" w:type="dxa"/>
            <w:shd w:val="clear" w:color="auto" w:fill="C00000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color w:val="FFFFFF"/>
                <w:sz w:val="22"/>
              </w:rPr>
            </w:pPr>
            <w:r w:rsidRPr="00F66A06">
              <w:rPr>
                <w:rFonts w:cs="Arial"/>
                <w:b/>
                <w:bCs/>
                <w:color w:val="FFFFFF"/>
                <w:sz w:val="22"/>
              </w:rPr>
              <w:t>Quem?</w:t>
            </w:r>
          </w:p>
        </w:tc>
      </w:tr>
      <w:tr w:rsidR="00A93B53" w:rsidRPr="00F66A06" w:rsidTr="0056361A">
        <w:tc>
          <w:tcPr>
            <w:tcW w:w="8158" w:type="dxa"/>
            <w:gridSpan w:val="3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  <w:u w:val="single"/>
              </w:rPr>
            </w:pPr>
            <w:r w:rsidRPr="00F66A06">
              <w:rPr>
                <w:rFonts w:cs="Arial"/>
                <w:b/>
                <w:bCs/>
                <w:sz w:val="22"/>
              </w:rPr>
              <w:t xml:space="preserve">1. </w:t>
            </w:r>
            <w:proofErr w:type="spellStart"/>
            <w:r w:rsidRPr="00F66A06">
              <w:rPr>
                <w:rFonts w:cs="Arial"/>
                <w:b/>
                <w:bCs/>
                <w:sz w:val="22"/>
              </w:rPr>
              <w:t>Subjectivo</w:t>
            </w:r>
            <w:proofErr w:type="spellEnd"/>
          </w:p>
        </w:tc>
      </w:tr>
      <w:tr w:rsidR="00A93B53" w:rsidRPr="00F66A06" w:rsidTr="0056361A">
        <w:tc>
          <w:tcPr>
            <w:tcW w:w="360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Conhecimentos face à doença</w:t>
            </w:r>
          </w:p>
        </w:tc>
        <w:tc>
          <w:tcPr>
            <w:tcW w:w="2038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Sempre</w:t>
            </w:r>
          </w:p>
        </w:tc>
        <w:tc>
          <w:tcPr>
            <w:tcW w:w="252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MF / EF</w:t>
            </w:r>
          </w:p>
        </w:tc>
      </w:tr>
      <w:tr w:rsidR="00A93B53" w:rsidRPr="00F66A06" w:rsidTr="0056361A">
        <w:tc>
          <w:tcPr>
            <w:tcW w:w="360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Hábitos tabágicos</w:t>
            </w:r>
          </w:p>
        </w:tc>
        <w:tc>
          <w:tcPr>
            <w:tcW w:w="2038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Sempre</w:t>
            </w:r>
          </w:p>
        </w:tc>
        <w:tc>
          <w:tcPr>
            <w:tcW w:w="252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MF / EF</w:t>
            </w:r>
          </w:p>
        </w:tc>
      </w:tr>
      <w:tr w:rsidR="00A93B53" w:rsidRPr="00F66A06" w:rsidTr="0056361A">
        <w:tc>
          <w:tcPr>
            <w:tcW w:w="360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Questionar sinais e sintomas de complicações</w:t>
            </w:r>
          </w:p>
        </w:tc>
        <w:tc>
          <w:tcPr>
            <w:tcW w:w="2038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Sempre</w:t>
            </w:r>
          </w:p>
        </w:tc>
        <w:tc>
          <w:tcPr>
            <w:tcW w:w="252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MF / EF</w:t>
            </w:r>
          </w:p>
        </w:tc>
      </w:tr>
      <w:tr w:rsidR="00A93B53" w:rsidRPr="00F66A06" w:rsidTr="0056361A">
        <w:tc>
          <w:tcPr>
            <w:tcW w:w="8158" w:type="dxa"/>
            <w:gridSpan w:val="3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 xml:space="preserve">2. </w:t>
            </w:r>
            <w:proofErr w:type="spellStart"/>
            <w:r w:rsidRPr="00F66A06">
              <w:rPr>
                <w:rFonts w:cs="Arial"/>
                <w:b/>
                <w:bCs/>
                <w:sz w:val="22"/>
              </w:rPr>
              <w:t>Objectivo</w:t>
            </w:r>
            <w:proofErr w:type="spellEnd"/>
          </w:p>
        </w:tc>
      </w:tr>
      <w:tr w:rsidR="00A93B53" w:rsidRPr="00F66A06" w:rsidTr="0056361A">
        <w:tc>
          <w:tcPr>
            <w:tcW w:w="360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PA</w:t>
            </w:r>
          </w:p>
        </w:tc>
        <w:tc>
          <w:tcPr>
            <w:tcW w:w="2038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Semestral</w:t>
            </w:r>
          </w:p>
        </w:tc>
        <w:tc>
          <w:tcPr>
            <w:tcW w:w="252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MF / EF</w:t>
            </w:r>
          </w:p>
        </w:tc>
      </w:tr>
      <w:tr w:rsidR="00A93B53" w:rsidRPr="00F66A06" w:rsidTr="0056361A">
        <w:tc>
          <w:tcPr>
            <w:tcW w:w="360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IMC</w:t>
            </w:r>
          </w:p>
        </w:tc>
        <w:tc>
          <w:tcPr>
            <w:tcW w:w="2038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Anual</w:t>
            </w:r>
          </w:p>
        </w:tc>
        <w:tc>
          <w:tcPr>
            <w:tcW w:w="252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MF / EF</w:t>
            </w:r>
          </w:p>
        </w:tc>
      </w:tr>
      <w:tr w:rsidR="00A93B53" w:rsidRPr="00F66A06" w:rsidTr="0056361A">
        <w:tc>
          <w:tcPr>
            <w:tcW w:w="360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Auscultação cardíaca e vascular</w:t>
            </w:r>
          </w:p>
        </w:tc>
        <w:tc>
          <w:tcPr>
            <w:tcW w:w="2038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Anual</w:t>
            </w:r>
          </w:p>
        </w:tc>
        <w:tc>
          <w:tcPr>
            <w:tcW w:w="252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MF</w:t>
            </w:r>
          </w:p>
        </w:tc>
      </w:tr>
      <w:tr w:rsidR="00A93B53" w:rsidRPr="00F66A06" w:rsidTr="0056361A">
        <w:tc>
          <w:tcPr>
            <w:tcW w:w="360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Pulsos arteriais</w:t>
            </w:r>
          </w:p>
        </w:tc>
        <w:tc>
          <w:tcPr>
            <w:tcW w:w="2038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Anual</w:t>
            </w:r>
          </w:p>
        </w:tc>
        <w:tc>
          <w:tcPr>
            <w:tcW w:w="252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MF</w:t>
            </w:r>
          </w:p>
        </w:tc>
      </w:tr>
      <w:tr w:rsidR="00A93B53" w:rsidRPr="00F66A06" w:rsidTr="0056361A">
        <w:tc>
          <w:tcPr>
            <w:tcW w:w="360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Perímetro abdominal</w:t>
            </w:r>
          </w:p>
        </w:tc>
        <w:tc>
          <w:tcPr>
            <w:tcW w:w="2038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Anual</w:t>
            </w:r>
          </w:p>
        </w:tc>
        <w:tc>
          <w:tcPr>
            <w:tcW w:w="252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MF / EF</w:t>
            </w:r>
          </w:p>
        </w:tc>
      </w:tr>
      <w:tr w:rsidR="00A93B53" w:rsidRPr="00F66A06" w:rsidTr="0056361A">
        <w:tc>
          <w:tcPr>
            <w:tcW w:w="360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Risco Cardiovascular</w:t>
            </w:r>
          </w:p>
        </w:tc>
        <w:tc>
          <w:tcPr>
            <w:tcW w:w="2038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Anual</w:t>
            </w:r>
          </w:p>
        </w:tc>
        <w:tc>
          <w:tcPr>
            <w:tcW w:w="252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MF</w:t>
            </w:r>
          </w:p>
        </w:tc>
      </w:tr>
      <w:tr w:rsidR="00A93B53" w:rsidRPr="00F66A06" w:rsidTr="0056361A">
        <w:tc>
          <w:tcPr>
            <w:tcW w:w="8158" w:type="dxa"/>
            <w:gridSpan w:val="3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3. Educação para saúde</w:t>
            </w:r>
          </w:p>
        </w:tc>
      </w:tr>
      <w:tr w:rsidR="00A93B53" w:rsidRPr="00F66A06" w:rsidTr="0056361A">
        <w:tc>
          <w:tcPr>
            <w:tcW w:w="360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Vigilância periódica</w:t>
            </w:r>
          </w:p>
        </w:tc>
        <w:tc>
          <w:tcPr>
            <w:tcW w:w="2038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Anual</w:t>
            </w:r>
          </w:p>
        </w:tc>
        <w:tc>
          <w:tcPr>
            <w:tcW w:w="252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EF</w:t>
            </w:r>
          </w:p>
        </w:tc>
      </w:tr>
      <w:tr w:rsidR="00A93B53" w:rsidRPr="00F66A06" w:rsidTr="0056361A">
        <w:tc>
          <w:tcPr>
            <w:tcW w:w="360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Alimentação</w:t>
            </w:r>
          </w:p>
        </w:tc>
        <w:tc>
          <w:tcPr>
            <w:tcW w:w="2038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Sempre</w:t>
            </w:r>
          </w:p>
        </w:tc>
        <w:tc>
          <w:tcPr>
            <w:tcW w:w="252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MF / EF</w:t>
            </w:r>
          </w:p>
        </w:tc>
      </w:tr>
      <w:tr w:rsidR="00A93B53" w:rsidRPr="00F66A06" w:rsidTr="0056361A">
        <w:tc>
          <w:tcPr>
            <w:tcW w:w="360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proofErr w:type="spellStart"/>
            <w:r w:rsidRPr="00F66A06">
              <w:rPr>
                <w:rFonts w:cs="Arial"/>
                <w:b/>
                <w:bCs/>
                <w:sz w:val="22"/>
              </w:rPr>
              <w:t>Actividade</w:t>
            </w:r>
            <w:proofErr w:type="spellEnd"/>
            <w:r w:rsidRPr="00F66A06">
              <w:rPr>
                <w:rFonts w:cs="Arial"/>
                <w:b/>
                <w:bCs/>
                <w:sz w:val="22"/>
              </w:rPr>
              <w:t xml:space="preserve"> física</w:t>
            </w:r>
          </w:p>
        </w:tc>
        <w:tc>
          <w:tcPr>
            <w:tcW w:w="2038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Sempre</w:t>
            </w:r>
          </w:p>
        </w:tc>
        <w:tc>
          <w:tcPr>
            <w:tcW w:w="252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MF / EF</w:t>
            </w:r>
          </w:p>
        </w:tc>
      </w:tr>
      <w:tr w:rsidR="00A93B53" w:rsidRPr="00F66A06" w:rsidTr="0056361A">
        <w:tc>
          <w:tcPr>
            <w:tcW w:w="360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proofErr w:type="spellStart"/>
            <w:r w:rsidRPr="00F66A06">
              <w:rPr>
                <w:rFonts w:cs="Arial"/>
                <w:b/>
                <w:bCs/>
                <w:sz w:val="22"/>
              </w:rPr>
              <w:t>Factores</w:t>
            </w:r>
            <w:proofErr w:type="spellEnd"/>
            <w:r w:rsidRPr="00F66A06">
              <w:rPr>
                <w:rFonts w:cs="Arial"/>
                <w:b/>
                <w:bCs/>
                <w:sz w:val="22"/>
              </w:rPr>
              <w:t xml:space="preserve"> de risco evitáveis</w:t>
            </w:r>
          </w:p>
        </w:tc>
        <w:tc>
          <w:tcPr>
            <w:tcW w:w="2038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Sempre</w:t>
            </w:r>
          </w:p>
        </w:tc>
        <w:tc>
          <w:tcPr>
            <w:tcW w:w="252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MF / EF</w:t>
            </w:r>
          </w:p>
        </w:tc>
      </w:tr>
      <w:tr w:rsidR="00A93B53" w:rsidRPr="00F66A06" w:rsidTr="0056361A">
        <w:tc>
          <w:tcPr>
            <w:tcW w:w="360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Informação sobre complicações</w:t>
            </w:r>
          </w:p>
        </w:tc>
        <w:tc>
          <w:tcPr>
            <w:tcW w:w="2038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Anual</w:t>
            </w:r>
          </w:p>
        </w:tc>
        <w:tc>
          <w:tcPr>
            <w:tcW w:w="252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EF</w:t>
            </w:r>
          </w:p>
        </w:tc>
      </w:tr>
      <w:tr w:rsidR="00A93B53" w:rsidRPr="00F66A06" w:rsidTr="0056361A">
        <w:tc>
          <w:tcPr>
            <w:tcW w:w="360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 xml:space="preserve">Informação sobre </w:t>
            </w:r>
            <w:proofErr w:type="spellStart"/>
            <w:r w:rsidRPr="00F66A06">
              <w:rPr>
                <w:rFonts w:cs="Arial"/>
                <w:b/>
                <w:bCs/>
                <w:sz w:val="22"/>
              </w:rPr>
              <w:t>auto</w:t>
            </w:r>
            <w:r w:rsidRPr="00F66A06">
              <w:rPr>
                <w:rFonts w:cs="Arial"/>
                <w:b/>
                <w:bCs/>
                <w:sz w:val="22"/>
              </w:rPr>
              <w:noBreakHyphen/>
              <w:t>monitorização</w:t>
            </w:r>
            <w:proofErr w:type="spellEnd"/>
          </w:p>
        </w:tc>
        <w:tc>
          <w:tcPr>
            <w:tcW w:w="2038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Anual</w:t>
            </w:r>
          </w:p>
        </w:tc>
        <w:tc>
          <w:tcPr>
            <w:tcW w:w="252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EF</w:t>
            </w:r>
          </w:p>
        </w:tc>
      </w:tr>
      <w:tr w:rsidR="00A93B53" w:rsidRPr="00F66A06" w:rsidTr="0056361A">
        <w:tc>
          <w:tcPr>
            <w:tcW w:w="8158" w:type="dxa"/>
            <w:gridSpan w:val="3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 xml:space="preserve">4. </w:t>
            </w:r>
            <w:proofErr w:type="spellStart"/>
            <w:r w:rsidRPr="00F66A06">
              <w:rPr>
                <w:rFonts w:cs="Arial"/>
                <w:b/>
                <w:bCs/>
                <w:sz w:val="22"/>
              </w:rPr>
              <w:t>MCDT’s</w:t>
            </w:r>
            <w:proofErr w:type="spellEnd"/>
          </w:p>
        </w:tc>
      </w:tr>
      <w:tr w:rsidR="00A93B53" w:rsidRPr="00F66A06" w:rsidTr="0056361A">
        <w:tc>
          <w:tcPr>
            <w:tcW w:w="360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Glicemia jejum</w:t>
            </w:r>
          </w:p>
        </w:tc>
        <w:tc>
          <w:tcPr>
            <w:tcW w:w="2038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Anual</w:t>
            </w:r>
          </w:p>
        </w:tc>
        <w:tc>
          <w:tcPr>
            <w:tcW w:w="252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MF</w:t>
            </w:r>
          </w:p>
        </w:tc>
      </w:tr>
      <w:tr w:rsidR="00A93B53" w:rsidRPr="00F66A06" w:rsidTr="0056361A">
        <w:tc>
          <w:tcPr>
            <w:tcW w:w="360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proofErr w:type="spellStart"/>
            <w:r w:rsidRPr="00F66A06">
              <w:rPr>
                <w:rFonts w:cs="Arial"/>
                <w:b/>
                <w:bCs/>
                <w:sz w:val="22"/>
              </w:rPr>
              <w:t>Creatininémia</w:t>
            </w:r>
            <w:proofErr w:type="spellEnd"/>
          </w:p>
        </w:tc>
        <w:tc>
          <w:tcPr>
            <w:tcW w:w="2038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Anual</w:t>
            </w:r>
          </w:p>
        </w:tc>
        <w:tc>
          <w:tcPr>
            <w:tcW w:w="252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MF</w:t>
            </w:r>
          </w:p>
        </w:tc>
      </w:tr>
      <w:tr w:rsidR="00A93B53" w:rsidRPr="00F66A06" w:rsidTr="0056361A">
        <w:tc>
          <w:tcPr>
            <w:tcW w:w="360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proofErr w:type="spellStart"/>
            <w:r w:rsidRPr="00F66A06">
              <w:rPr>
                <w:rFonts w:cs="Arial"/>
                <w:b/>
                <w:bCs/>
                <w:sz w:val="22"/>
              </w:rPr>
              <w:t>Microalbuminúria</w:t>
            </w:r>
            <w:proofErr w:type="spellEnd"/>
          </w:p>
        </w:tc>
        <w:tc>
          <w:tcPr>
            <w:tcW w:w="2038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Anual</w:t>
            </w:r>
          </w:p>
        </w:tc>
        <w:tc>
          <w:tcPr>
            <w:tcW w:w="252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MF</w:t>
            </w:r>
          </w:p>
        </w:tc>
      </w:tr>
      <w:tr w:rsidR="00A93B53" w:rsidRPr="00F66A06" w:rsidTr="0056361A">
        <w:tc>
          <w:tcPr>
            <w:tcW w:w="360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 xml:space="preserve">Perfil </w:t>
            </w:r>
            <w:proofErr w:type="spellStart"/>
            <w:r w:rsidRPr="00F66A06">
              <w:rPr>
                <w:rFonts w:cs="Arial"/>
                <w:b/>
                <w:bCs/>
                <w:sz w:val="22"/>
              </w:rPr>
              <w:t>lípidico</w:t>
            </w:r>
            <w:proofErr w:type="spellEnd"/>
          </w:p>
        </w:tc>
        <w:tc>
          <w:tcPr>
            <w:tcW w:w="2038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Anual</w:t>
            </w:r>
          </w:p>
        </w:tc>
        <w:tc>
          <w:tcPr>
            <w:tcW w:w="252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MF</w:t>
            </w:r>
          </w:p>
        </w:tc>
      </w:tr>
      <w:tr w:rsidR="00A93B53" w:rsidRPr="00F66A06" w:rsidTr="0056361A">
        <w:tc>
          <w:tcPr>
            <w:tcW w:w="8158" w:type="dxa"/>
            <w:gridSpan w:val="3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color w:val="FFFFFF"/>
                <w:sz w:val="22"/>
              </w:rPr>
            </w:pPr>
            <w:r w:rsidRPr="00F66A06">
              <w:rPr>
                <w:rFonts w:cs="Arial"/>
                <w:b/>
                <w:bCs/>
                <w:color w:val="FFFFFF"/>
                <w:sz w:val="22"/>
              </w:rPr>
              <w:t>5. Outros Procedimentos</w:t>
            </w:r>
          </w:p>
        </w:tc>
      </w:tr>
      <w:tr w:rsidR="00A93B53" w:rsidRPr="00F66A06" w:rsidTr="0056361A">
        <w:tc>
          <w:tcPr>
            <w:tcW w:w="360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 xml:space="preserve">Negociação de </w:t>
            </w:r>
            <w:proofErr w:type="spellStart"/>
            <w:r w:rsidRPr="00F66A06">
              <w:rPr>
                <w:rFonts w:cs="Arial"/>
                <w:b/>
                <w:bCs/>
                <w:sz w:val="22"/>
              </w:rPr>
              <w:t>objectivos</w:t>
            </w:r>
            <w:proofErr w:type="spellEnd"/>
          </w:p>
        </w:tc>
        <w:tc>
          <w:tcPr>
            <w:tcW w:w="2038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Semestral</w:t>
            </w:r>
          </w:p>
        </w:tc>
        <w:tc>
          <w:tcPr>
            <w:tcW w:w="252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MF / EF</w:t>
            </w:r>
          </w:p>
        </w:tc>
      </w:tr>
      <w:tr w:rsidR="00A93B53" w:rsidRPr="00F66A06" w:rsidTr="0056361A">
        <w:tc>
          <w:tcPr>
            <w:tcW w:w="360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Motivação para adesão ao plano terapêutico</w:t>
            </w:r>
          </w:p>
        </w:tc>
        <w:tc>
          <w:tcPr>
            <w:tcW w:w="2038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sz w:val="22"/>
              </w:rPr>
            </w:pPr>
            <w:r w:rsidRPr="00F66A06">
              <w:rPr>
                <w:rFonts w:cs="Arial"/>
                <w:sz w:val="22"/>
              </w:rPr>
              <w:t>Sempre</w:t>
            </w:r>
          </w:p>
        </w:tc>
        <w:tc>
          <w:tcPr>
            <w:tcW w:w="252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MF / EF</w:t>
            </w:r>
          </w:p>
        </w:tc>
      </w:tr>
      <w:tr w:rsidR="00A93B53" w:rsidRPr="00F66A06" w:rsidTr="0056361A">
        <w:tc>
          <w:tcPr>
            <w:tcW w:w="360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Vacinação</w:t>
            </w:r>
          </w:p>
        </w:tc>
        <w:tc>
          <w:tcPr>
            <w:tcW w:w="2038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Anual</w:t>
            </w:r>
          </w:p>
        </w:tc>
        <w:tc>
          <w:tcPr>
            <w:tcW w:w="2520" w:type="dxa"/>
          </w:tcPr>
          <w:p w:rsidR="00A93B53" w:rsidRPr="00F66A06" w:rsidRDefault="00A93B53" w:rsidP="004F4BDD">
            <w:pPr>
              <w:pStyle w:val="cabecalho"/>
              <w:rPr>
                <w:rFonts w:cs="Arial"/>
                <w:b/>
                <w:bCs/>
                <w:sz w:val="22"/>
              </w:rPr>
            </w:pPr>
            <w:r w:rsidRPr="00F66A06">
              <w:rPr>
                <w:rFonts w:cs="Arial"/>
                <w:b/>
                <w:bCs/>
                <w:sz w:val="22"/>
              </w:rPr>
              <w:t>EF</w:t>
            </w:r>
          </w:p>
        </w:tc>
      </w:tr>
    </w:tbl>
    <w:p w:rsidR="00A93B53" w:rsidRPr="00F66A06" w:rsidRDefault="00A93B53" w:rsidP="00A93B53">
      <w:bookmarkStart w:id="87" w:name="_Toc340647325"/>
    </w:p>
    <w:bookmarkEnd w:id="86"/>
    <w:bookmarkEnd w:id="87"/>
    <w:p w:rsidR="00261781" w:rsidRPr="00F66A06" w:rsidRDefault="00261781" w:rsidP="00A93B53"/>
    <w:p w:rsidR="00261781" w:rsidRPr="00F66A06" w:rsidRDefault="00261781" w:rsidP="00A93B53">
      <w:pPr>
        <w:pStyle w:val="Ttulo1"/>
      </w:pPr>
      <w:r w:rsidRPr="00F66A06">
        <w:br w:type="page"/>
      </w:r>
      <w:bookmarkStart w:id="88" w:name="_Toc382865762"/>
      <w:bookmarkStart w:id="89" w:name="_Toc382866041"/>
      <w:bookmarkStart w:id="90" w:name="_Toc422524134"/>
      <w:bookmarkStart w:id="91" w:name="_Toc422525620"/>
      <w:bookmarkStart w:id="92" w:name="_Toc340647326"/>
      <w:bookmarkStart w:id="93" w:name="_Toc444109683"/>
      <w:r w:rsidRPr="00F66A06">
        <w:lastRenderedPageBreak/>
        <w:t>Fluxograma</w:t>
      </w:r>
      <w:bookmarkEnd w:id="88"/>
      <w:bookmarkEnd w:id="89"/>
      <w:bookmarkEnd w:id="90"/>
      <w:bookmarkEnd w:id="91"/>
      <w:bookmarkEnd w:id="92"/>
      <w:bookmarkEnd w:id="93"/>
    </w:p>
    <w:p w:rsidR="00261781" w:rsidRPr="00F66A06" w:rsidRDefault="00261781" w:rsidP="00E02BBD"/>
    <w:p w:rsidR="00261781" w:rsidRPr="00F66A06" w:rsidRDefault="002E47C0" w:rsidP="00D45A3F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248025" cy="6987540"/>
            <wp:effectExtent l="0" t="0" r="0" b="0"/>
            <wp:docPr id="67" name="Imagem 67" descr="F:\Documentos USF 2019\Fluxogramas\H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F:\Documentos USF 2019\Fluxogramas\H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9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781" w:rsidRPr="00F66A06" w:rsidSect="0099432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9D3" w:rsidRDefault="007759D3" w:rsidP="00E02BBD">
      <w:r>
        <w:separator/>
      </w:r>
    </w:p>
  </w:endnote>
  <w:endnote w:type="continuationSeparator" w:id="0">
    <w:p w:rsidR="007759D3" w:rsidRDefault="007759D3" w:rsidP="00E0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ry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92B" w:rsidRDefault="002E47C0" w:rsidP="0013392B">
    <w:pPr>
      <w:pStyle w:val="Rodap"/>
      <w:rPr>
        <w:sz w:val="20"/>
        <w:szCs w:val="20"/>
      </w:rPr>
    </w:pPr>
    <w:r>
      <w:rPr>
        <w:noProof/>
        <w:lang w:eastAsia="pt-PT"/>
      </w:rPr>
      <w:drawing>
        <wp:inline distT="0" distB="0" distL="0" distR="0">
          <wp:extent cx="4080510" cy="450215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0510" cy="450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3392B" w:rsidRDefault="0013392B" w:rsidP="0013392B">
    <w:pPr>
      <w:pStyle w:val="Rodap"/>
      <w:jc w:val="right"/>
    </w:pPr>
    <w:r>
      <w:t xml:space="preserve">Página </w:t>
    </w:r>
    <w:r w:rsidR="00781F60">
      <w:fldChar w:fldCharType="begin"/>
    </w:r>
    <w:r>
      <w:instrText xml:space="preserve"> PAGE </w:instrText>
    </w:r>
    <w:r w:rsidR="00781F60">
      <w:fldChar w:fldCharType="separate"/>
    </w:r>
    <w:r w:rsidR="00E451C2">
      <w:rPr>
        <w:noProof/>
      </w:rPr>
      <w:t>2</w:t>
    </w:r>
    <w:r w:rsidR="00781F60">
      <w:rPr>
        <w:noProof/>
      </w:rPr>
      <w:fldChar w:fldCharType="end"/>
    </w:r>
    <w:r>
      <w:t xml:space="preserve"> de </w:t>
    </w:r>
    <w:r w:rsidR="00781F60">
      <w:fldChar w:fldCharType="begin"/>
    </w:r>
    <w:r w:rsidR="00536339">
      <w:instrText xml:space="preserve"> NUMPAGES \*Arabic </w:instrText>
    </w:r>
    <w:r w:rsidR="00781F60">
      <w:fldChar w:fldCharType="separate"/>
    </w:r>
    <w:r w:rsidR="00E451C2">
      <w:rPr>
        <w:noProof/>
      </w:rPr>
      <w:t>18</w:t>
    </w:r>
    <w:r w:rsidR="00781F6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92B" w:rsidRDefault="002E47C0" w:rsidP="0013392B">
    <w:pPr>
      <w:pStyle w:val="Rodap"/>
      <w:rPr>
        <w:sz w:val="20"/>
        <w:szCs w:val="20"/>
      </w:rPr>
    </w:pPr>
    <w:r>
      <w:rPr>
        <w:noProof/>
        <w:lang w:eastAsia="pt-PT"/>
      </w:rPr>
      <w:drawing>
        <wp:inline distT="0" distB="0" distL="0" distR="0">
          <wp:extent cx="4080510" cy="45021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0510" cy="450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3392B" w:rsidRDefault="0013392B" w:rsidP="0013392B">
    <w:pPr>
      <w:pStyle w:val="Rodap"/>
      <w:jc w:val="right"/>
    </w:pPr>
    <w:r>
      <w:t xml:space="preserve">Página </w:t>
    </w:r>
    <w:r w:rsidR="00781F60">
      <w:fldChar w:fldCharType="begin"/>
    </w:r>
    <w:r>
      <w:instrText xml:space="preserve"> PAGE </w:instrText>
    </w:r>
    <w:r w:rsidR="00781F60">
      <w:fldChar w:fldCharType="separate"/>
    </w:r>
    <w:r w:rsidR="00E451C2">
      <w:rPr>
        <w:noProof/>
      </w:rPr>
      <w:t>1</w:t>
    </w:r>
    <w:r w:rsidR="00781F60">
      <w:rPr>
        <w:noProof/>
      </w:rPr>
      <w:fldChar w:fldCharType="end"/>
    </w:r>
    <w:r>
      <w:t xml:space="preserve"> de </w:t>
    </w:r>
    <w:r w:rsidR="00781F60">
      <w:fldChar w:fldCharType="begin"/>
    </w:r>
    <w:r w:rsidR="00536339">
      <w:instrText xml:space="preserve"> NUMPAGES \*Arabic </w:instrText>
    </w:r>
    <w:r w:rsidR="00781F60">
      <w:fldChar w:fldCharType="separate"/>
    </w:r>
    <w:r w:rsidR="00E451C2">
      <w:rPr>
        <w:noProof/>
      </w:rPr>
      <w:t>18</w:t>
    </w:r>
    <w:r w:rsidR="00781F6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9D3" w:rsidRDefault="007759D3" w:rsidP="00E02BBD">
      <w:r>
        <w:separator/>
      </w:r>
    </w:p>
  </w:footnote>
  <w:footnote w:type="continuationSeparator" w:id="0">
    <w:p w:rsidR="007759D3" w:rsidRDefault="007759D3" w:rsidP="00E02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Layout w:type="fixed"/>
      <w:tblLook w:val="0000" w:firstRow="0" w:lastRow="0" w:firstColumn="0" w:lastColumn="0" w:noHBand="0" w:noVBand="0"/>
    </w:tblPr>
    <w:tblGrid>
      <w:gridCol w:w="3528"/>
      <w:gridCol w:w="5116"/>
    </w:tblGrid>
    <w:tr w:rsidR="00416851" w:rsidRPr="007459EE">
      <w:tc>
        <w:tcPr>
          <w:tcW w:w="3528" w:type="dxa"/>
          <w:shd w:val="clear" w:color="auto" w:fill="auto"/>
        </w:tcPr>
        <w:p w:rsidR="00416851" w:rsidRPr="00EB67F3" w:rsidRDefault="002E47C0" w:rsidP="00E02BBD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noProof/>
              <w:sz w:val="22"/>
              <w:lang w:eastAsia="pt-PT"/>
            </w:rPr>
            <w:drawing>
              <wp:inline distT="0" distB="0" distL="0" distR="0">
                <wp:extent cx="2087880" cy="777875"/>
                <wp:effectExtent l="0" t="0" r="0" b="0"/>
                <wp:docPr id="3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7880" cy="777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6" w:type="dxa"/>
          <w:shd w:val="clear" w:color="auto" w:fill="auto"/>
          <w:vAlign w:val="center"/>
        </w:tcPr>
        <w:p w:rsidR="00416851" w:rsidRPr="00AF6AD4" w:rsidRDefault="00416851" w:rsidP="00D17BF5">
          <w:pPr>
            <w:pStyle w:val="titulocabealho"/>
            <w:rPr>
              <w:rFonts w:cs="Arial"/>
              <w:sz w:val="36"/>
              <w:szCs w:val="36"/>
            </w:rPr>
          </w:pPr>
          <w:r w:rsidRPr="00AF6AD4">
            <w:rPr>
              <w:rFonts w:cs="Arial"/>
              <w:sz w:val="36"/>
              <w:szCs w:val="36"/>
            </w:rPr>
            <w:t>Hipertensão</w:t>
          </w:r>
        </w:p>
      </w:tc>
    </w:tr>
  </w:tbl>
  <w:p w:rsidR="00314B13" w:rsidRDefault="00314B13" w:rsidP="00E02B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Layout w:type="fixed"/>
      <w:tblLook w:val="0000" w:firstRow="0" w:lastRow="0" w:firstColumn="0" w:lastColumn="0" w:noHBand="0" w:noVBand="0"/>
    </w:tblPr>
    <w:tblGrid>
      <w:gridCol w:w="1247"/>
      <w:gridCol w:w="1701"/>
      <w:gridCol w:w="580"/>
      <w:gridCol w:w="799"/>
      <w:gridCol w:w="4317"/>
      <w:gridCol w:w="10"/>
    </w:tblGrid>
    <w:tr w:rsidR="0013392B" w:rsidRPr="007459EE" w:rsidTr="00C609A0">
      <w:trPr>
        <w:gridAfter w:val="1"/>
        <w:wAfter w:w="10" w:type="dxa"/>
      </w:trPr>
      <w:tc>
        <w:tcPr>
          <w:tcW w:w="3528" w:type="dxa"/>
          <w:gridSpan w:val="3"/>
          <w:tcBorders>
            <w:bottom w:val="single" w:sz="4" w:space="0" w:color="000000"/>
          </w:tcBorders>
          <w:shd w:val="clear" w:color="auto" w:fill="auto"/>
        </w:tcPr>
        <w:p w:rsidR="0013392B" w:rsidRPr="00EB67F3" w:rsidRDefault="002E47C0" w:rsidP="0013392B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noProof/>
              <w:sz w:val="22"/>
              <w:lang w:eastAsia="pt-PT"/>
            </w:rPr>
            <w:drawing>
              <wp:inline distT="0" distB="0" distL="0" distR="0">
                <wp:extent cx="2087880" cy="77787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7880" cy="777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6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:rsidR="0013392B" w:rsidRPr="00AF6AD4" w:rsidRDefault="0013392B" w:rsidP="0013392B">
          <w:pPr>
            <w:pStyle w:val="titulocabealho"/>
            <w:rPr>
              <w:rFonts w:cs="Arial"/>
              <w:sz w:val="36"/>
              <w:szCs w:val="36"/>
            </w:rPr>
          </w:pPr>
          <w:r w:rsidRPr="00AF6AD4">
            <w:rPr>
              <w:rFonts w:cs="Arial"/>
              <w:sz w:val="36"/>
              <w:szCs w:val="36"/>
            </w:rPr>
            <w:t>Hipertensão</w:t>
          </w:r>
        </w:p>
      </w:tc>
    </w:tr>
    <w:tr w:rsidR="0013392B" w:rsidRPr="007459EE" w:rsidTr="00C609A0">
      <w:trPr>
        <w:trHeight w:val="397"/>
      </w:trPr>
      <w:tc>
        <w:tcPr>
          <w:tcW w:w="4327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13392B" w:rsidRPr="00EB67F3" w:rsidRDefault="00497A45" w:rsidP="0013392B">
          <w:pPr>
            <w:pStyle w:val="cabecalho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Versão: 2.3</w:t>
          </w:r>
        </w:p>
      </w:tc>
      <w:tc>
        <w:tcPr>
          <w:tcW w:w="43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3392B" w:rsidRPr="00EB67F3" w:rsidRDefault="00A62D68" w:rsidP="0013392B">
          <w:pPr>
            <w:pStyle w:val="cabecalho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Gestores</w:t>
          </w:r>
          <w:r w:rsidR="0013392B" w:rsidRPr="00EB67F3">
            <w:rPr>
              <w:rFonts w:cs="Arial"/>
              <w:sz w:val="22"/>
            </w:rPr>
            <w:t xml:space="preserve">: </w:t>
          </w:r>
          <w:proofErr w:type="spellStart"/>
          <w:r w:rsidR="00DE4C7E">
            <w:rPr>
              <w:rFonts w:cs="Arial"/>
              <w:sz w:val="22"/>
            </w:rPr>
            <w:t>Drª</w:t>
          </w:r>
          <w:proofErr w:type="spellEnd"/>
          <w:r w:rsidR="00DE4C7E">
            <w:rPr>
              <w:rFonts w:cs="Arial"/>
              <w:sz w:val="22"/>
            </w:rPr>
            <w:t xml:space="preserve"> </w:t>
          </w:r>
          <w:r w:rsidR="00981381">
            <w:rPr>
              <w:rFonts w:cs="Arial"/>
              <w:sz w:val="22"/>
            </w:rPr>
            <w:t xml:space="preserve">Martina </w:t>
          </w:r>
          <w:proofErr w:type="spellStart"/>
          <w:r w:rsidR="00981381">
            <w:rPr>
              <w:rFonts w:cs="Arial"/>
              <w:sz w:val="22"/>
            </w:rPr>
            <w:t>Husgen</w:t>
          </w:r>
          <w:proofErr w:type="spellEnd"/>
          <w:r w:rsidR="0013392B" w:rsidRPr="00EB67F3">
            <w:rPr>
              <w:rFonts w:cs="Arial"/>
              <w:sz w:val="22"/>
            </w:rPr>
            <w:t xml:space="preserve">; </w:t>
          </w:r>
          <w:proofErr w:type="spellStart"/>
          <w:r w:rsidR="00DE4C7E">
            <w:rPr>
              <w:rFonts w:cs="Arial"/>
              <w:sz w:val="22"/>
            </w:rPr>
            <w:t>Enfª</w:t>
          </w:r>
          <w:proofErr w:type="spellEnd"/>
          <w:r w:rsidR="00DE4C7E">
            <w:rPr>
              <w:rFonts w:cs="Arial"/>
              <w:sz w:val="22"/>
            </w:rPr>
            <w:t xml:space="preserve"> </w:t>
          </w:r>
          <w:r w:rsidR="0013392B" w:rsidRPr="00EB67F3">
            <w:rPr>
              <w:rFonts w:cs="Arial"/>
              <w:sz w:val="22"/>
            </w:rPr>
            <w:t xml:space="preserve">Sandra Silva; </w:t>
          </w:r>
          <w:r w:rsidR="00DE4C7E">
            <w:rPr>
              <w:rFonts w:cs="Arial"/>
              <w:sz w:val="22"/>
            </w:rPr>
            <w:t xml:space="preserve">SC </w:t>
          </w:r>
          <w:r w:rsidR="00B82EA1">
            <w:rPr>
              <w:rFonts w:cs="Arial"/>
              <w:sz w:val="22"/>
            </w:rPr>
            <w:t>Gabriela Barbosa</w:t>
          </w:r>
        </w:p>
      </w:tc>
    </w:tr>
    <w:tr w:rsidR="0013392B" w:rsidRPr="007459EE" w:rsidTr="00C609A0">
      <w:trPr>
        <w:trHeight w:val="397"/>
      </w:trPr>
      <w:tc>
        <w:tcPr>
          <w:tcW w:w="4327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13392B" w:rsidRPr="00EB67F3" w:rsidRDefault="0013392B" w:rsidP="0013392B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 xml:space="preserve">Data de elaboração: </w:t>
          </w:r>
          <w:r w:rsidR="00E4207A">
            <w:rPr>
              <w:sz w:val="22"/>
            </w:rPr>
            <w:t>06/01/2018</w:t>
          </w:r>
        </w:p>
      </w:tc>
      <w:tc>
        <w:tcPr>
          <w:tcW w:w="43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3392B" w:rsidRPr="00EB67F3" w:rsidRDefault="0013392B" w:rsidP="00497A45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 xml:space="preserve">Data de validade: </w:t>
          </w:r>
          <w:r w:rsidR="00497A45">
            <w:rPr>
              <w:rFonts w:cs="Arial"/>
              <w:sz w:val="22"/>
            </w:rPr>
            <w:t>31</w:t>
          </w:r>
          <w:r w:rsidRPr="00EB67F3">
            <w:rPr>
              <w:rFonts w:cs="Arial"/>
              <w:sz w:val="22"/>
            </w:rPr>
            <w:t>/12/201</w:t>
          </w:r>
          <w:r w:rsidR="00A277FE">
            <w:rPr>
              <w:rFonts w:cs="Arial"/>
              <w:sz w:val="22"/>
            </w:rPr>
            <w:t>9</w:t>
          </w:r>
        </w:p>
      </w:tc>
    </w:tr>
    <w:tr w:rsidR="0013392B" w:rsidRPr="007459EE" w:rsidTr="00C609A0">
      <w:trPr>
        <w:trHeight w:val="397"/>
      </w:trPr>
      <w:tc>
        <w:tcPr>
          <w:tcW w:w="8654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3392B" w:rsidRPr="00EB67F3" w:rsidRDefault="0013392B" w:rsidP="00497A45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 xml:space="preserve">Data de aprovação em C.G.: </w:t>
          </w:r>
          <w:r w:rsidR="00DE4C7E" w:rsidRPr="00DE4C7E">
            <w:rPr>
              <w:rFonts w:cs="Arial"/>
              <w:sz w:val="22"/>
            </w:rPr>
            <w:t>17/05/2019</w:t>
          </w:r>
        </w:p>
      </w:tc>
    </w:tr>
    <w:tr w:rsidR="0013392B" w:rsidRPr="007459EE" w:rsidTr="00C609A0">
      <w:trPr>
        <w:trHeight w:val="397"/>
      </w:trPr>
      <w:tc>
        <w:tcPr>
          <w:tcW w:w="8654" w:type="dxa"/>
          <w:gridSpan w:val="6"/>
          <w:tcBorders>
            <w:top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13392B" w:rsidRPr="00EB67F3" w:rsidRDefault="0013392B" w:rsidP="0013392B">
          <w:pPr>
            <w:pStyle w:val="cabecalho"/>
            <w:rPr>
              <w:rFonts w:cs="Arial"/>
              <w:sz w:val="22"/>
            </w:rPr>
          </w:pPr>
        </w:p>
        <w:p w:rsidR="0013392B" w:rsidRPr="00EB67F3" w:rsidRDefault="0013392B" w:rsidP="0013392B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Histórico de revisões</w:t>
          </w:r>
        </w:p>
      </w:tc>
    </w:tr>
    <w:tr w:rsidR="00A17700" w:rsidRPr="007459EE" w:rsidTr="00EC72FC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A17700" w:rsidRPr="00EB67F3" w:rsidRDefault="00A17700" w:rsidP="0013392B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Versão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A17700" w:rsidRPr="00EB67F3" w:rsidRDefault="00A17700" w:rsidP="0013392B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Data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A17700" w:rsidRPr="00EB67F3" w:rsidRDefault="00A17700" w:rsidP="0013392B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Notas</w:t>
          </w:r>
        </w:p>
      </w:tc>
    </w:tr>
    <w:tr w:rsidR="00A17700" w:rsidRPr="007459EE" w:rsidTr="00EC72FC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A17700" w:rsidRPr="00EB67F3" w:rsidRDefault="00A17700" w:rsidP="0013392B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2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A17700" w:rsidRPr="00EB67F3" w:rsidRDefault="00A17700" w:rsidP="0013392B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04/03/2014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A17700" w:rsidRPr="00EB67F3" w:rsidRDefault="00A17700" w:rsidP="0013392B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Melhoria do procedimento</w:t>
          </w:r>
        </w:p>
      </w:tc>
    </w:tr>
    <w:tr w:rsidR="00A17700" w:rsidRPr="007459EE" w:rsidTr="00EC72FC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A17700" w:rsidRPr="00EB67F3" w:rsidRDefault="00A17700" w:rsidP="0013392B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2.1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A17700" w:rsidRPr="00EB67F3" w:rsidRDefault="00A17700" w:rsidP="0013392B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20/08/2014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A17700" w:rsidRPr="00EB67F3" w:rsidRDefault="00A17700" w:rsidP="0013392B">
          <w:pPr>
            <w:pStyle w:val="cabecalho"/>
            <w:rPr>
              <w:rFonts w:cs="Arial"/>
              <w:sz w:val="22"/>
            </w:rPr>
          </w:pPr>
          <w:proofErr w:type="spellStart"/>
          <w:r w:rsidRPr="00EB67F3">
            <w:rPr>
              <w:rFonts w:cs="Arial"/>
              <w:sz w:val="22"/>
            </w:rPr>
            <w:t>Actualização</w:t>
          </w:r>
          <w:proofErr w:type="spellEnd"/>
          <w:r w:rsidRPr="00EB67F3">
            <w:rPr>
              <w:rFonts w:cs="Arial"/>
              <w:sz w:val="22"/>
            </w:rPr>
            <w:t xml:space="preserve"> do cabeçalho</w:t>
          </w:r>
        </w:p>
      </w:tc>
    </w:tr>
    <w:tr w:rsidR="00A17700" w:rsidRPr="007459EE" w:rsidTr="00EC72FC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A17700" w:rsidRPr="00EB67F3" w:rsidRDefault="00A17700" w:rsidP="0013392B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2.2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A17700" w:rsidRPr="00EB67F3" w:rsidRDefault="00A17700" w:rsidP="0013392B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01/12/2015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A17700" w:rsidRPr="00EB67F3" w:rsidRDefault="00A17700" w:rsidP="0013392B">
          <w:pPr>
            <w:pStyle w:val="cabecalho"/>
            <w:rPr>
              <w:rFonts w:cs="Arial"/>
              <w:sz w:val="22"/>
            </w:rPr>
          </w:pPr>
          <w:proofErr w:type="spellStart"/>
          <w:r w:rsidRPr="00EB67F3">
            <w:rPr>
              <w:rFonts w:cs="Arial"/>
              <w:sz w:val="22"/>
            </w:rPr>
            <w:t>Actualizações</w:t>
          </w:r>
          <w:proofErr w:type="spellEnd"/>
        </w:p>
      </w:tc>
    </w:tr>
    <w:tr w:rsidR="00A17700" w:rsidRPr="007459EE" w:rsidTr="00EC72FC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A17700" w:rsidRPr="00EB67F3" w:rsidRDefault="00A17700" w:rsidP="0013392B">
          <w:pPr>
            <w:pStyle w:val="cabecalho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2.3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A17700" w:rsidRPr="00EB67F3" w:rsidRDefault="00A17700" w:rsidP="0013392B">
          <w:pPr>
            <w:pStyle w:val="cabecalho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06/01/2018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A17700" w:rsidRPr="00EB67F3" w:rsidRDefault="00A17700" w:rsidP="0013392B">
          <w:pPr>
            <w:pStyle w:val="cabecalho"/>
            <w:rPr>
              <w:rFonts w:cs="Arial"/>
              <w:sz w:val="22"/>
            </w:rPr>
          </w:pPr>
          <w:proofErr w:type="spellStart"/>
          <w:r>
            <w:rPr>
              <w:rFonts w:cs="Arial"/>
              <w:sz w:val="22"/>
            </w:rPr>
            <w:t>Actualização</w:t>
          </w:r>
          <w:proofErr w:type="spellEnd"/>
        </w:p>
      </w:tc>
    </w:tr>
    <w:tr w:rsidR="0056361A" w:rsidRPr="007459EE" w:rsidTr="00EC72FC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56361A" w:rsidRDefault="0056361A" w:rsidP="0013392B">
          <w:pPr>
            <w:pStyle w:val="cabecalho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2.4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56361A" w:rsidRDefault="0056361A" w:rsidP="0013392B">
          <w:pPr>
            <w:pStyle w:val="cabecalho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14/04/2019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56361A" w:rsidRDefault="0056361A" w:rsidP="0013392B">
          <w:pPr>
            <w:pStyle w:val="cabecalho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Alteração gráficas; gestores</w:t>
          </w:r>
        </w:p>
      </w:tc>
    </w:tr>
    <w:tr w:rsidR="002D37EF" w:rsidRPr="007459EE" w:rsidTr="00EC72FC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2D37EF" w:rsidRDefault="002D37EF" w:rsidP="0013392B">
          <w:pPr>
            <w:pStyle w:val="cabecalho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2.5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2D37EF" w:rsidRDefault="002D37EF" w:rsidP="0013392B">
          <w:pPr>
            <w:pStyle w:val="cabecalho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03/05/2019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2D37EF" w:rsidRDefault="002D37EF" w:rsidP="0013392B">
          <w:pPr>
            <w:pStyle w:val="cabecalho"/>
            <w:rPr>
              <w:rFonts w:cs="Arial"/>
              <w:sz w:val="22"/>
            </w:rPr>
          </w:pPr>
          <w:proofErr w:type="spellStart"/>
          <w:r>
            <w:rPr>
              <w:rFonts w:cs="Arial"/>
              <w:sz w:val="22"/>
            </w:rPr>
            <w:t>Correcções</w:t>
          </w:r>
          <w:proofErr w:type="spellEnd"/>
        </w:p>
      </w:tc>
    </w:tr>
  </w:tbl>
  <w:p w:rsidR="0013392B" w:rsidRPr="0013392B" w:rsidRDefault="0013392B" w:rsidP="0013392B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5"/>
    <w:multiLevelType w:val="multilevel"/>
    <w:tmpl w:val="00000005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8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cs="Times New Roman"/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cs="Times New Roman"/>
        <w:b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cs="Times New Roman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cs="Times New Roman"/>
        <w:b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cs="Times New Roman"/>
        <w:b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cs="Times New Roman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cs="Times New Roman"/>
        <w:b/>
      </w:rPr>
    </w:lvl>
  </w:abstractNum>
  <w:abstractNum w:abstractNumId="3" w15:restartNumberingAfterBreak="0">
    <w:nsid w:val="00000006"/>
    <w:multiLevelType w:val="singleLevel"/>
    <w:tmpl w:val="00000006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7"/>
    <w:multiLevelType w:val="singleLevel"/>
    <w:tmpl w:val="00000007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8"/>
    <w:multiLevelType w:val="singleLevel"/>
    <w:tmpl w:val="00000008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9"/>
    <w:multiLevelType w:val="singleLevel"/>
    <w:tmpl w:val="00000009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7" w15:restartNumberingAfterBreak="0">
    <w:nsid w:val="0000000A"/>
    <w:multiLevelType w:val="multilevel"/>
    <w:tmpl w:val="0000000A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0000000B"/>
    <w:multiLevelType w:val="singleLevel"/>
    <w:tmpl w:val="0000000B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10" w15:restartNumberingAfterBreak="0">
    <w:nsid w:val="0000000D"/>
    <w:multiLevelType w:val="singleLevel"/>
    <w:tmpl w:val="0000000D"/>
    <w:name w:val="WW8Num2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/>
      </w:rPr>
    </w:lvl>
  </w:abstractNum>
  <w:abstractNum w:abstractNumId="11" w15:restartNumberingAfterBreak="0">
    <w:nsid w:val="0000000E"/>
    <w:multiLevelType w:val="singleLevel"/>
    <w:tmpl w:val="0000000E"/>
    <w:name w:val="WW8Num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2" w15:restartNumberingAfterBreak="0">
    <w:nsid w:val="0000000F"/>
    <w:multiLevelType w:val="singleLevel"/>
    <w:tmpl w:val="0000000F"/>
    <w:name w:val="WW8Num31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</w:abstractNum>
  <w:abstractNum w:abstractNumId="13" w15:restartNumberingAfterBreak="0">
    <w:nsid w:val="00000010"/>
    <w:multiLevelType w:val="singleLevel"/>
    <w:tmpl w:val="00000010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4" w15:restartNumberingAfterBreak="0">
    <w:nsid w:val="00000011"/>
    <w:multiLevelType w:val="singleLevel"/>
    <w:tmpl w:val="00000011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 w15:restartNumberingAfterBreak="0">
    <w:nsid w:val="019276FA"/>
    <w:multiLevelType w:val="hybridMultilevel"/>
    <w:tmpl w:val="8DC2C71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022C0F5F"/>
    <w:multiLevelType w:val="hybridMultilevel"/>
    <w:tmpl w:val="1C0C395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058D203F"/>
    <w:multiLevelType w:val="hybridMultilevel"/>
    <w:tmpl w:val="B5C036F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0659234E"/>
    <w:multiLevelType w:val="hybridMultilevel"/>
    <w:tmpl w:val="23A0FBE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06CC66E6"/>
    <w:multiLevelType w:val="hybridMultilevel"/>
    <w:tmpl w:val="A7E453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08EE506B"/>
    <w:multiLevelType w:val="hybridMultilevel"/>
    <w:tmpl w:val="D116EBD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0CD918CA"/>
    <w:multiLevelType w:val="hybridMultilevel"/>
    <w:tmpl w:val="6958B94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0F270C00"/>
    <w:multiLevelType w:val="hybridMultilevel"/>
    <w:tmpl w:val="08389B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2B71B0F"/>
    <w:multiLevelType w:val="hybridMultilevel"/>
    <w:tmpl w:val="DB420D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13363A0B"/>
    <w:multiLevelType w:val="hybridMultilevel"/>
    <w:tmpl w:val="C99050B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139443C7"/>
    <w:multiLevelType w:val="hybridMultilevel"/>
    <w:tmpl w:val="C138347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15E077EB"/>
    <w:multiLevelType w:val="hybridMultilevel"/>
    <w:tmpl w:val="C64623EC"/>
    <w:lvl w:ilvl="0" w:tplc="98405F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1A567E03"/>
    <w:multiLevelType w:val="hybridMultilevel"/>
    <w:tmpl w:val="2CBC7F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20B74836"/>
    <w:multiLevelType w:val="hybridMultilevel"/>
    <w:tmpl w:val="169E1A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243B29C9"/>
    <w:multiLevelType w:val="hybridMultilevel"/>
    <w:tmpl w:val="672C68A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292D4E14"/>
    <w:multiLevelType w:val="hybridMultilevel"/>
    <w:tmpl w:val="4C3270B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32DF645B"/>
    <w:multiLevelType w:val="hybridMultilevel"/>
    <w:tmpl w:val="64E892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5105F95"/>
    <w:multiLevelType w:val="hybridMultilevel"/>
    <w:tmpl w:val="679E9E1C"/>
    <w:lvl w:ilvl="0" w:tplc="EC82D99A">
      <w:start w:val="1"/>
      <w:numFmt w:val="lowerLetter"/>
      <w:pStyle w:val="titulo2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1B0F51"/>
    <w:multiLevelType w:val="hybridMultilevel"/>
    <w:tmpl w:val="AD7C05F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3BB431E2"/>
    <w:multiLevelType w:val="hybridMultilevel"/>
    <w:tmpl w:val="D52C84A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3BDD4C91"/>
    <w:multiLevelType w:val="hybridMultilevel"/>
    <w:tmpl w:val="1FCEA5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3F8929FF"/>
    <w:multiLevelType w:val="hybridMultilevel"/>
    <w:tmpl w:val="BA92FA5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3FEF7361"/>
    <w:multiLevelType w:val="hybridMultilevel"/>
    <w:tmpl w:val="5394BAC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440D6473"/>
    <w:multiLevelType w:val="hybridMultilevel"/>
    <w:tmpl w:val="6F72FAA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4554738D"/>
    <w:multiLevelType w:val="hybridMultilevel"/>
    <w:tmpl w:val="59801AA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45A177D5"/>
    <w:multiLevelType w:val="hybridMultilevel"/>
    <w:tmpl w:val="072C83A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48FB079C"/>
    <w:multiLevelType w:val="hybridMultilevel"/>
    <w:tmpl w:val="4886D2C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4AF85DF2"/>
    <w:multiLevelType w:val="hybridMultilevel"/>
    <w:tmpl w:val="B38CA21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D35387A"/>
    <w:multiLevelType w:val="hybridMultilevel"/>
    <w:tmpl w:val="9E0A50A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4E846523"/>
    <w:multiLevelType w:val="hybridMultilevel"/>
    <w:tmpl w:val="627C9B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1E343FF"/>
    <w:multiLevelType w:val="hybridMultilevel"/>
    <w:tmpl w:val="B7C4833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53E55258"/>
    <w:multiLevelType w:val="hybridMultilevel"/>
    <w:tmpl w:val="8868A7D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5BE17FCA"/>
    <w:multiLevelType w:val="hybridMultilevel"/>
    <w:tmpl w:val="63AE8772"/>
    <w:lvl w:ilvl="0" w:tplc="BC8A9C6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8" w15:restartNumberingAfterBreak="0">
    <w:nsid w:val="60D76D41"/>
    <w:multiLevelType w:val="hybridMultilevel"/>
    <w:tmpl w:val="619C370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6294092E"/>
    <w:multiLevelType w:val="hybridMultilevel"/>
    <w:tmpl w:val="CE16DA2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638D6420"/>
    <w:multiLevelType w:val="hybridMultilevel"/>
    <w:tmpl w:val="BA6A01D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69C87474"/>
    <w:multiLevelType w:val="hybridMultilevel"/>
    <w:tmpl w:val="BC708F5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DA11380"/>
    <w:multiLevelType w:val="hybridMultilevel"/>
    <w:tmpl w:val="705E69B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6EF33674"/>
    <w:multiLevelType w:val="hybridMultilevel"/>
    <w:tmpl w:val="841227A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 w15:restartNumberingAfterBreak="0">
    <w:nsid w:val="6F1265E7"/>
    <w:multiLevelType w:val="hybridMultilevel"/>
    <w:tmpl w:val="2102AB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700365C3"/>
    <w:multiLevelType w:val="hybridMultilevel"/>
    <w:tmpl w:val="7A28CEB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71B3384A"/>
    <w:multiLevelType w:val="hybridMultilevel"/>
    <w:tmpl w:val="72D018C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 w15:restartNumberingAfterBreak="0">
    <w:nsid w:val="7F4016A9"/>
    <w:multiLevelType w:val="hybridMultilevel"/>
    <w:tmpl w:val="F4420DCE"/>
    <w:lvl w:ilvl="0" w:tplc="099AD148">
      <w:start w:val="1"/>
      <w:numFmt w:val="decimal"/>
      <w:pStyle w:val="headings"/>
      <w:lvlText w:val="%1"/>
      <w:lvlJc w:val="left"/>
      <w:pPr>
        <w:ind w:left="644" w:hanging="360"/>
      </w:pPr>
      <w:rPr>
        <w:b w:val="0"/>
        <w:color w:val="auto"/>
        <w:sz w:val="24"/>
        <w:szCs w:val="24"/>
      </w:rPr>
    </w:lvl>
    <w:lvl w:ilvl="1" w:tplc="45F889C6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57"/>
  </w:num>
  <w:num w:numId="3">
    <w:abstractNumId w:val="25"/>
  </w:num>
  <w:num w:numId="4">
    <w:abstractNumId w:val="37"/>
  </w:num>
  <w:num w:numId="5">
    <w:abstractNumId w:val="35"/>
  </w:num>
  <w:num w:numId="6">
    <w:abstractNumId w:val="28"/>
  </w:num>
  <w:num w:numId="7">
    <w:abstractNumId w:val="19"/>
  </w:num>
  <w:num w:numId="8">
    <w:abstractNumId w:val="54"/>
  </w:num>
  <w:num w:numId="9">
    <w:abstractNumId w:val="31"/>
  </w:num>
  <w:num w:numId="10">
    <w:abstractNumId w:val="56"/>
  </w:num>
  <w:num w:numId="11">
    <w:abstractNumId w:val="40"/>
  </w:num>
  <w:num w:numId="12">
    <w:abstractNumId w:val="44"/>
  </w:num>
  <w:num w:numId="13">
    <w:abstractNumId w:val="22"/>
  </w:num>
  <w:num w:numId="14">
    <w:abstractNumId w:val="21"/>
  </w:num>
  <w:num w:numId="15">
    <w:abstractNumId w:val="16"/>
  </w:num>
  <w:num w:numId="16">
    <w:abstractNumId w:val="27"/>
  </w:num>
  <w:num w:numId="17">
    <w:abstractNumId w:val="23"/>
  </w:num>
  <w:num w:numId="18">
    <w:abstractNumId w:val="36"/>
  </w:num>
  <w:num w:numId="19">
    <w:abstractNumId w:val="30"/>
  </w:num>
  <w:num w:numId="20">
    <w:abstractNumId w:val="17"/>
  </w:num>
  <w:num w:numId="21">
    <w:abstractNumId w:val="18"/>
  </w:num>
  <w:num w:numId="22">
    <w:abstractNumId w:val="55"/>
  </w:num>
  <w:num w:numId="23">
    <w:abstractNumId w:val="53"/>
  </w:num>
  <w:num w:numId="24">
    <w:abstractNumId w:val="46"/>
  </w:num>
  <w:num w:numId="25">
    <w:abstractNumId w:val="20"/>
  </w:num>
  <w:num w:numId="26">
    <w:abstractNumId w:val="39"/>
  </w:num>
  <w:num w:numId="27">
    <w:abstractNumId w:val="15"/>
  </w:num>
  <w:num w:numId="28">
    <w:abstractNumId w:val="29"/>
  </w:num>
  <w:num w:numId="29">
    <w:abstractNumId w:val="52"/>
  </w:num>
  <w:num w:numId="30">
    <w:abstractNumId w:val="49"/>
  </w:num>
  <w:num w:numId="31">
    <w:abstractNumId w:val="45"/>
  </w:num>
  <w:num w:numId="32">
    <w:abstractNumId w:val="41"/>
  </w:num>
  <w:num w:numId="33">
    <w:abstractNumId w:val="43"/>
  </w:num>
  <w:num w:numId="34">
    <w:abstractNumId w:val="42"/>
  </w:num>
  <w:num w:numId="35">
    <w:abstractNumId w:val="50"/>
  </w:num>
  <w:num w:numId="36">
    <w:abstractNumId w:val="24"/>
  </w:num>
  <w:num w:numId="37">
    <w:abstractNumId w:val="33"/>
  </w:num>
  <w:num w:numId="38">
    <w:abstractNumId w:val="47"/>
  </w:num>
  <w:num w:numId="39">
    <w:abstractNumId w:val="48"/>
  </w:num>
  <w:num w:numId="40">
    <w:abstractNumId w:val="26"/>
  </w:num>
  <w:num w:numId="41">
    <w:abstractNumId w:val="38"/>
  </w:num>
  <w:num w:numId="42">
    <w:abstractNumId w:val="51"/>
  </w:num>
  <w:num w:numId="43">
    <w:abstractNumId w:val="3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F3"/>
    <w:rsid w:val="000025E0"/>
    <w:rsid w:val="00002BC0"/>
    <w:rsid w:val="00015800"/>
    <w:rsid w:val="000159C7"/>
    <w:rsid w:val="00017E02"/>
    <w:rsid w:val="000248D9"/>
    <w:rsid w:val="00025E72"/>
    <w:rsid w:val="0003547F"/>
    <w:rsid w:val="00035D7E"/>
    <w:rsid w:val="0004302F"/>
    <w:rsid w:val="00052ED2"/>
    <w:rsid w:val="0005439F"/>
    <w:rsid w:val="000562E2"/>
    <w:rsid w:val="00061298"/>
    <w:rsid w:val="00062F48"/>
    <w:rsid w:val="000653F1"/>
    <w:rsid w:val="00067941"/>
    <w:rsid w:val="00075639"/>
    <w:rsid w:val="00076068"/>
    <w:rsid w:val="00076D57"/>
    <w:rsid w:val="0007758A"/>
    <w:rsid w:val="00080E98"/>
    <w:rsid w:val="00081CFE"/>
    <w:rsid w:val="00083A78"/>
    <w:rsid w:val="0009529D"/>
    <w:rsid w:val="000A180D"/>
    <w:rsid w:val="000A7656"/>
    <w:rsid w:val="000B256D"/>
    <w:rsid w:val="000B2B1F"/>
    <w:rsid w:val="000B4588"/>
    <w:rsid w:val="000C0653"/>
    <w:rsid w:val="000C4FE9"/>
    <w:rsid w:val="000D7CF8"/>
    <w:rsid w:val="000E0414"/>
    <w:rsid w:val="000E12CB"/>
    <w:rsid w:val="000E2684"/>
    <w:rsid w:val="000E45B0"/>
    <w:rsid w:val="000E7D6D"/>
    <w:rsid w:val="000F171D"/>
    <w:rsid w:val="001018C5"/>
    <w:rsid w:val="0011087C"/>
    <w:rsid w:val="0013392B"/>
    <w:rsid w:val="001355AB"/>
    <w:rsid w:val="001355B9"/>
    <w:rsid w:val="00143EE0"/>
    <w:rsid w:val="00145C4C"/>
    <w:rsid w:val="0015135D"/>
    <w:rsid w:val="00152A7F"/>
    <w:rsid w:val="0016084C"/>
    <w:rsid w:val="00163968"/>
    <w:rsid w:val="0016502B"/>
    <w:rsid w:val="0017239F"/>
    <w:rsid w:val="00173C91"/>
    <w:rsid w:val="00180AB2"/>
    <w:rsid w:val="00180BBA"/>
    <w:rsid w:val="0018142C"/>
    <w:rsid w:val="001849DB"/>
    <w:rsid w:val="001872F8"/>
    <w:rsid w:val="001902BE"/>
    <w:rsid w:val="00190733"/>
    <w:rsid w:val="00192AA0"/>
    <w:rsid w:val="00195C57"/>
    <w:rsid w:val="001A17C4"/>
    <w:rsid w:val="001A4832"/>
    <w:rsid w:val="001A70BB"/>
    <w:rsid w:val="001B02AB"/>
    <w:rsid w:val="001C1CE7"/>
    <w:rsid w:val="001C45E5"/>
    <w:rsid w:val="001C6C79"/>
    <w:rsid w:val="001D34E2"/>
    <w:rsid w:val="001D46E1"/>
    <w:rsid w:val="001D5F29"/>
    <w:rsid w:val="001E1C35"/>
    <w:rsid w:val="001E5E39"/>
    <w:rsid w:val="001E6462"/>
    <w:rsid w:val="00202EB3"/>
    <w:rsid w:val="00207DBF"/>
    <w:rsid w:val="00226695"/>
    <w:rsid w:val="002273CE"/>
    <w:rsid w:val="00235B64"/>
    <w:rsid w:val="00236588"/>
    <w:rsid w:val="00236F7A"/>
    <w:rsid w:val="002432AF"/>
    <w:rsid w:val="00243323"/>
    <w:rsid w:val="00246EB1"/>
    <w:rsid w:val="00252129"/>
    <w:rsid w:val="0025504F"/>
    <w:rsid w:val="00261781"/>
    <w:rsid w:val="002617B3"/>
    <w:rsid w:val="00267336"/>
    <w:rsid w:val="00270DCA"/>
    <w:rsid w:val="00281A07"/>
    <w:rsid w:val="0028532E"/>
    <w:rsid w:val="0028730C"/>
    <w:rsid w:val="0029138B"/>
    <w:rsid w:val="00293028"/>
    <w:rsid w:val="00293E5F"/>
    <w:rsid w:val="00293F4F"/>
    <w:rsid w:val="00294CE8"/>
    <w:rsid w:val="002A476C"/>
    <w:rsid w:val="002B2C9B"/>
    <w:rsid w:val="002B5850"/>
    <w:rsid w:val="002C2B8A"/>
    <w:rsid w:val="002C54CE"/>
    <w:rsid w:val="002C6C9E"/>
    <w:rsid w:val="002C6D94"/>
    <w:rsid w:val="002D3063"/>
    <w:rsid w:val="002D37EF"/>
    <w:rsid w:val="002E0BFB"/>
    <w:rsid w:val="002E0E8C"/>
    <w:rsid w:val="002E47C0"/>
    <w:rsid w:val="002E569D"/>
    <w:rsid w:val="002F1AA3"/>
    <w:rsid w:val="002F5EB3"/>
    <w:rsid w:val="00300D92"/>
    <w:rsid w:val="00302BD5"/>
    <w:rsid w:val="00305A35"/>
    <w:rsid w:val="0030742B"/>
    <w:rsid w:val="00314B13"/>
    <w:rsid w:val="003213C8"/>
    <w:rsid w:val="00321DA2"/>
    <w:rsid w:val="00321E4F"/>
    <w:rsid w:val="00325974"/>
    <w:rsid w:val="00336488"/>
    <w:rsid w:val="0034240C"/>
    <w:rsid w:val="00351FA0"/>
    <w:rsid w:val="0035318B"/>
    <w:rsid w:val="003535A4"/>
    <w:rsid w:val="00353D0B"/>
    <w:rsid w:val="003547A0"/>
    <w:rsid w:val="00356109"/>
    <w:rsid w:val="00364FB6"/>
    <w:rsid w:val="003825A7"/>
    <w:rsid w:val="00383F35"/>
    <w:rsid w:val="00385A3E"/>
    <w:rsid w:val="003936CD"/>
    <w:rsid w:val="00394960"/>
    <w:rsid w:val="003A2ED7"/>
    <w:rsid w:val="003A34EB"/>
    <w:rsid w:val="003A3B24"/>
    <w:rsid w:val="003A42CE"/>
    <w:rsid w:val="003A6B77"/>
    <w:rsid w:val="003A75A9"/>
    <w:rsid w:val="003B064B"/>
    <w:rsid w:val="003B26A6"/>
    <w:rsid w:val="003B5590"/>
    <w:rsid w:val="003C0E0D"/>
    <w:rsid w:val="003C33FD"/>
    <w:rsid w:val="003C4659"/>
    <w:rsid w:val="003D2BB2"/>
    <w:rsid w:val="003D2EF7"/>
    <w:rsid w:val="003D4FF3"/>
    <w:rsid w:val="003D6770"/>
    <w:rsid w:val="003D6CD5"/>
    <w:rsid w:val="003E074B"/>
    <w:rsid w:val="003E14A6"/>
    <w:rsid w:val="003F23F7"/>
    <w:rsid w:val="00416851"/>
    <w:rsid w:val="00417925"/>
    <w:rsid w:val="004224EC"/>
    <w:rsid w:val="00432CAF"/>
    <w:rsid w:val="00434037"/>
    <w:rsid w:val="004342E6"/>
    <w:rsid w:val="00437282"/>
    <w:rsid w:val="00441595"/>
    <w:rsid w:val="0044475E"/>
    <w:rsid w:val="0045737F"/>
    <w:rsid w:val="00467039"/>
    <w:rsid w:val="0047006E"/>
    <w:rsid w:val="00473748"/>
    <w:rsid w:val="00474275"/>
    <w:rsid w:val="00474B8D"/>
    <w:rsid w:val="0048091C"/>
    <w:rsid w:val="004867E4"/>
    <w:rsid w:val="00492D1A"/>
    <w:rsid w:val="004937D6"/>
    <w:rsid w:val="004956A6"/>
    <w:rsid w:val="00495C9B"/>
    <w:rsid w:val="00497A45"/>
    <w:rsid w:val="004B7233"/>
    <w:rsid w:val="004C18D8"/>
    <w:rsid w:val="004C2C6B"/>
    <w:rsid w:val="004D04E5"/>
    <w:rsid w:val="004D1663"/>
    <w:rsid w:val="004D7081"/>
    <w:rsid w:val="004E2618"/>
    <w:rsid w:val="004E4651"/>
    <w:rsid w:val="004F1E3E"/>
    <w:rsid w:val="004F4BDD"/>
    <w:rsid w:val="00506EE3"/>
    <w:rsid w:val="00512C6C"/>
    <w:rsid w:val="00521C1F"/>
    <w:rsid w:val="005228C7"/>
    <w:rsid w:val="00523609"/>
    <w:rsid w:val="00524E70"/>
    <w:rsid w:val="00525A74"/>
    <w:rsid w:val="00526EC6"/>
    <w:rsid w:val="00534327"/>
    <w:rsid w:val="00536339"/>
    <w:rsid w:val="005373C9"/>
    <w:rsid w:val="00542841"/>
    <w:rsid w:val="0054567B"/>
    <w:rsid w:val="00553AD3"/>
    <w:rsid w:val="00555446"/>
    <w:rsid w:val="0055672D"/>
    <w:rsid w:val="0056361A"/>
    <w:rsid w:val="00570D79"/>
    <w:rsid w:val="00576D8B"/>
    <w:rsid w:val="00585F1D"/>
    <w:rsid w:val="005874D8"/>
    <w:rsid w:val="00587725"/>
    <w:rsid w:val="0059503D"/>
    <w:rsid w:val="005A7AD6"/>
    <w:rsid w:val="005B08A6"/>
    <w:rsid w:val="005C172C"/>
    <w:rsid w:val="005C3340"/>
    <w:rsid w:val="005C5547"/>
    <w:rsid w:val="005D3075"/>
    <w:rsid w:val="005D716F"/>
    <w:rsid w:val="005E0333"/>
    <w:rsid w:val="005E1E2C"/>
    <w:rsid w:val="005E4B6A"/>
    <w:rsid w:val="005F494A"/>
    <w:rsid w:val="005F6442"/>
    <w:rsid w:val="005F67FD"/>
    <w:rsid w:val="005F6F72"/>
    <w:rsid w:val="005F77BE"/>
    <w:rsid w:val="006020F7"/>
    <w:rsid w:val="00605F1A"/>
    <w:rsid w:val="0060689E"/>
    <w:rsid w:val="00610E73"/>
    <w:rsid w:val="00613D51"/>
    <w:rsid w:val="0061533F"/>
    <w:rsid w:val="006173A1"/>
    <w:rsid w:val="00623C29"/>
    <w:rsid w:val="006257DF"/>
    <w:rsid w:val="006311E7"/>
    <w:rsid w:val="00632C80"/>
    <w:rsid w:val="00637B57"/>
    <w:rsid w:val="006454D6"/>
    <w:rsid w:val="00646D74"/>
    <w:rsid w:val="00676496"/>
    <w:rsid w:val="00677A82"/>
    <w:rsid w:val="00683AAB"/>
    <w:rsid w:val="006907B8"/>
    <w:rsid w:val="00695C07"/>
    <w:rsid w:val="00696D44"/>
    <w:rsid w:val="0069765F"/>
    <w:rsid w:val="006A762A"/>
    <w:rsid w:val="006A7BD6"/>
    <w:rsid w:val="006B2281"/>
    <w:rsid w:val="006B34FE"/>
    <w:rsid w:val="006B4AC4"/>
    <w:rsid w:val="006B5326"/>
    <w:rsid w:val="006D0555"/>
    <w:rsid w:val="006E0E19"/>
    <w:rsid w:val="006E37AF"/>
    <w:rsid w:val="006E6B96"/>
    <w:rsid w:val="006F1DF7"/>
    <w:rsid w:val="006F4554"/>
    <w:rsid w:val="006F79AB"/>
    <w:rsid w:val="00704AB1"/>
    <w:rsid w:val="007169BE"/>
    <w:rsid w:val="00720CA2"/>
    <w:rsid w:val="00735945"/>
    <w:rsid w:val="00740847"/>
    <w:rsid w:val="00740992"/>
    <w:rsid w:val="00740EBA"/>
    <w:rsid w:val="00741312"/>
    <w:rsid w:val="007459EE"/>
    <w:rsid w:val="007509C9"/>
    <w:rsid w:val="00752999"/>
    <w:rsid w:val="00753AE0"/>
    <w:rsid w:val="00756111"/>
    <w:rsid w:val="00760DAD"/>
    <w:rsid w:val="00764D67"/>
    <w:rsid w:val="00772D16"/>
    <w:rsid w:val="0077551E"/>
    <w:rsid w:val="007759D3"/>
    <w:rsid w:val="0077679A"/>
    <w:rsid w:val="00781F60"/>
    <w:rsid w:val="00790206"/>
    <w:rsid w:val="00792BE1"/>
    <w:rsid w:val="007972CB"/>
    <w:rsid w:val="007A52EB"/>
    <w:rsid w:val="007B44F9"/>
    <w:rsid w:val="007B7CD0"/>
    <w:rsid w:val="007C4986"/>
    <w:rsid w:val="007E0023"/>
    <w:rsid w:val="007E0412"/>
    <w:rsid w:val="007E76BF"/>
    <w:rsid w:val="007E78A7"/>
    <w:rsid w:val="0080198B"/>
    <w:rsid w:val="00812431"/>
    <w:rsid w:val="00823916"/>
    <w:rsid w:val="00834626"/>
    <w:rsid w:val="00837E1C"/>
    <w:rsid w:val="00850161"/>
    <w:rsid w:val="00850178"/>
    <w:rsid w:val="00850788"/>
    <w:rsid w:val="00854E7F"/>
    <w:rsid w:val="0085645F"/>
    <w:rsid w:val="00863F2E"/>
    <w:rsid w:val="008677BA"/>
    <w:rsid w:val="008751C6"/>
    <w:rsid w:val="0088679F"/>
    <w:rsid w:val="008932CF"/>
    <w:rsid w:val="008A1324"/>
    <w:rsid w:val="008B675F"/>
    <w:rsid w:val="008C0C81"/>
    <w:rsid w:val="008C5BEF"/>
    <w:rsid w:val="008C5D0E"/>
    <w:rsid w:val="008C64A3"/>
    <w:rsid w:val="008D40B2"/>
    <w:rsid w:val="008E0F82"/>
    <w:rsid w:val="008E59FE"/>
    <w:rsid w:val="008E67F7"/>
    <w:rsid w:val="008F0628"/>
    <w:rsid w:val="008F2C48"/>
    <w:rsid w:val="00902522"/>
    <w:rsid w:val="00905224"/>
    <w:rsid w:val="00917465"/>
    <w:rsid w:val="0092523C"/>
    <w:rsid w:val="00926F77"/>
    <w:rsid w:val="00927927"/>
    <w:rsid w:val="00931F1F"/>
    <w:rsid w:val="009365A0"/>
    <w:rsid w:val="009402AD"/>
    <w:rsid w:val="00951E60"/>
    <w:rsid w:val="00955E6E"/>
    <w:rsid w:val="0096164D"/>
    <w:rsid w:val="00962A6B"/>
    <w:rsid w:val="00964013"/>
    <w:rsid w:val="009749F4"/>
    <w:rsid w:val="009774C0"/>
    <w:rsid w:val="00981381"/>
    <w:rsid w:val="0098367D"/>
    <w:rsid w:val="00983D20"/>
    <w:rsid w:val="009858B0"/>
    <w:rsid w:val="00991270"/>
    <w:rsid w:val="0099432B"/>
    <w:rsid w:val="009961FE"/>
    <w:rsid w:val="009968A6"/>
    <w:rsid w:val="009B153A"/>
    <w:rsid w:val="009B1AE9"/>
    <w:rsid w:val="009B2EA5"/>
    <w:rsid w:val="009C5E61"/>
    <w:rsid w:val="009C636D"/>
    <w:rsid w:val="009C7073"/>
    <w:rsid w:val="009D27D1"/>
    <w:rsid w:val="009D7AD9"/>
    <w:rsid w:val="009E25A6"/>
    <w:rsid w:val="009E5CD3"/>
    <w:rsid w:val="009F4761"/>
    <w:rsid w:val="00A04993"/>
    <w:rsid w:val="00A077CF"/>
    <w:rsid w:val="00A122BF"/>
    <w:rsid w:val="00A12718"/>
    <w:rsid w:val="00A142CD"/>
    <w:rsid w:val="00A1676A"/>
    <w:rsid w:val="00A17700"/>
    <w:rsid w:val="00A24049"/>
    <w:rsid w:val="00A277FE"/>
    <w:rsid w:val="00A31A8A"/>
    <w:rsid w:val="00A3650D"/>
    <w:rsid w:val="00A468D9"/>
    <w:rsid w:val="00A56C0B"/>
    <w:rsid w:val="00A5787B"/>
    <w:rsid w:val="00A62D68"/>
    <w:rsid w:val="00A668F5"/>
    <w:rsid w:val="00A66BBE"/>
    <w:rsid w:val="00A70A08"/>
    <w:rsid w:val="00A72742"/>
    <w:rsid w:val="00A74C95"/>
    <w:rsid w:val="00A83269"/>
    <w:rsid w:val="00A84FC7"/>
    <w:rsid w:val="00A90FE7"/>
    <w:rsid w:val="00A93B53"/>
    <w:rsid w:val="00A93DF9"/>
    <w:rsid w:val="00AA221E"/>
    <w:rsid w:val="00AA2DD1"/>
    <w:rsid w:val="00AA7097"/>
    <w:rsid w:val="00AB3AFF"/>
    <w:rsid w:val="00AC26AB"/>
    <w:rsid w:val="00AC4887"/>
    <w:rsid w:val="00AC7FB5"/>
    <w:rsid w:val="00AD4C1B"/>
    <w:rsid w:val="00AD6847"/>
    <w:rsid w:val="00AE7355"/>
    <w:rsid w:val="00AE780A"/>
    <w:rsid w:val="00AF59E9"/>
    <w:rsid w:val="00AF5B02"/>
    <w:rsid w:val="00AF6AD4"/>
    <w:rsid w:val="00AF6C49"/>
    <w:rsid w:val="00B03254"/>
    <w:rsid w:val="00B06DB3"/>
    <w:rsid w:val="00B14690"/>
    <w:rsid w:val="00B1486B"/>
    <w:rsid w:val="00B31F2E"/>
    <w:rsid w:val="00B34913"/>
    <w:rsid w:val="00B369D3"/>
    <w:rsid w:val="00B36B4D"/>
    <w:rsid w:val="00B420B9"/>
    <w:rsid w:val="00B45A55"/>
    <w:rsid w:val="00B54760"/>
    <w:rsid w:val="00B6463F"/>
    <w:rsid w:val="00B74675"/>
    <w:rsid w:val="00B75095"/>
    <w:rsid w:val="00B82EA1"/>
    <w:rsid w:val="00B83886"/>
    <w:rsid w:val="00B915D4"/>
    <w:rsid w:val="00B91D11"/>
    <w:rsid w:val="00B934CA"/>
    <w:rsid w:val="00BA46B5"/>
    <w:rsid w:val="00BB0E01"/>
    <w:rsid w:val="00BB2D06"/>
    <w:rsid w:val="00BB54E9"/>
    <w:rsid w:val="00BB5F35"/>
    <w:rsid w:val="00BB7B89"/>
    <w:rsid w:val="00BC26D2"/>
    <w:rsid w:val="00BC402B"/>
    <w:rsid w:val="00BC7E78"/>
    <w:rsid w:val="00BE48EA"/>
    <w:rsid w:val="00BE4E4B"/>
    <w:rsid w:val="00BE7679"/>
    <w:rsid w:val="00BF611F"/>
    <w:rsid w:val="00C01BE3"/>
    <w:rsid w:val="00C16DD9"/>
    <w:rsid w:val="00C20116"/>
    <w:rsid w:val="00C20385"/>
    <w:rsid w:val="00C206C5"/>
    <w:rsid w:val="00C208E6"/>
    <w:rsid w:val="00C30C31"/>
    <w:rsid w:val="00C31FAE"/>
    <w:rsid w:val="00C327FB"/>
    <w:rsid w:val="00C52B81"/>
    <w:rsid w:val="00C53E34"/>
    <w:rsid w:val="00C609A0"/>
    <w:rsid w:val="00C60A03"/>
    <w:rsid w:val="00C62844"/>
    <w:rsid w:val="00C665AA"/>
    <w:rsid w:val="00C71743"/>
    <w:rsid w:val="00C74A40"/>
    <w:rsid w:val="00C836C8"/>
    <w:rsid w:val="00C84CC9"/>
    <w:rsid w:val="00C854D5"/>
    <w:rsid w:val="00C92D45"/>
    <w:rsid w:val="00C94D03"/>
    <w:rsid w:val="00C959B2"/>
    <w:rsid w:val="00C95C2F"/>
    <w:rsid w:val="00C96E7D"/>
    <w:rsid w:val="00CA2369"/>
    <w:rsid w:val="00CA2FC0"/>
    <w:rsid w:val="00CA3140"/>
    <w:rsid w:val="00CB0098"/>
    <w:rsid w:val="00CB09F7"/>
    <w:rsid w:val="00CB21C1"/>
    <w:rsid w:val="00CB6344"/>
    <w:rsid w:val="00CB643E"/>
    <w:rsid w:val="00CC35A1"/>
    <w:rsid w:val="00CD1850"/>
    <w:rsid w:val="00CD5A01"/>
    <w:rsid w:val="00CD75CD"/>
    <w:rsid w:val="00CD7D6D"/>
    <w:rsid w:val="00CE41B4"/>
    <w:rsid w:val="00CE7BA8"/>
    <w:rsid w:val="00CF2B79"/>
    <w:rsid w:val="00CF68CC"/>
    <w:rsid w:val="00D06D36"/>
    <w:rsid w:val="00D10AF6"/>
    <w:rsid w:val="00D11476"/>
    <w:rsid w:val="00D149A3"/>
    <w:rsid w:val="00D17BF5"/>
    <w:rsid w:val="00D254E1"/>
    <w:rsid w:val="00D25730"/>
    <w:rsid w:val="00D277EA"/>
    <w:rsid w:val="00D27FB0"/>
    <w:rsid w:val="00D30C2B"/>
    <w:rsid w:val="00D31D3C"/>
    <w:rsid w:val="00D37B89"/>
    <w:rsid w:val="00D43B22"/>
    <w:rsid w:val="00D45A3F"/>
    <w:rsid w:val="00D52E55"/>
    <w:rsid w:val="00D548B6"/>
    <w:rsid w:val="00D556E0"/>
    <w:rsid w:val="00D609E7"/>
    <w:rsid w:val="00D62913"/>
    <w:rsid w:val="00D744FF"/>
    <w:rsid w:val="00D747D3"/>
    <w:rsid w:val="00D75B96"/>
    <w:rsid w:val="00D866FB"/>
    <w:rsid w:val="00D86831"/>
    <w:rsid w:val="00D95AC6"/>
    <w:rsid w:val="00DA02A3"/>
    <w:rsid w:val="00DB388B"/>
    <w:rsid w:val="00DC7BD1"/>
    <w:rsid w:val="00DD135C"/>
    <w:rsid w:val="00DD2257"/>
    <w:rsid w:val="00DD652C"/>
    <w:rsid w:val="00DE1062"/>
    <w:rsid w:val="00DE2945"/>
    <w:rsid w:val="00DE4C7E"/>
    <w:rsid w:val="00DF097E"/>
    <w:rsid w:val="00E02BBD"/>
    <w:rsid w:val="00E0323D"/>
    <w:rsid w:val="00E03824"/>
    <w:rsid w:val="00E0453B"/>
    <w:rsid w:val="00E15F70"/>
    <w:rsid w:val="00E24835"/>
    <w:rsid w:val="00E40797"/>
    <w:rsid w:val="00E40AEB"/>
    <w:rsid w:val="00E40D11"/>
    <w:rsid w:val="00E4207A"/>
    <w:rsid w:val="00E420DA"/>
    <w:rsid w:val="00E434D5"/>
    <w:rsid w:val="00E451C2"/>
    <w:rsid w:val="00E6176C"/>
    <w:rsid w:val="00E73C92"/>
    <w:rsid w:val="00E91662"/>
    <w:rsid w:val="00E91B77"/>
    <w:rsid w:val="00E93D4C"/>
    <w:rsid w:val="00EB4293"/>
    <w:rsid w:val="00EB67F3"/>
    <w:rsid w:val="00EB712E"/>
    <w:rsid w:val="00EC4E75"/>
    <w:rsid w:val="00EC72FC"/>
    <w:rsid w:val="00ED04D2"/>
    <w:rsid w:val="00ED7480"/>
    <w:rsid w:val="00EE022E"/>
    <w:rsid w:val="00EE15D0"/>
    <w:rsid w:val="00F007BE"/>
    <w:rsid w:val="00F07223"/>
    <w:rsid w:val="00F101D2"/>
    <w:rsid w:val="00F12F20"/>
    <w:rsid w:val="00F234F9"/>
    <w:rsid w:val="00F41F9B"/>
    <w:rsid w:val="00F4485B"/>
    <w:rsid w:val="00F4573A"/>
    <w:rsid w:val="00F457E0"/>
    <w:rsid w:val="00F46894"/>
    <w:rsid w:val="00F52334"/>
    <w:rsid w:val="00F52369"/>
    <w:rsid w:val="00F53C8E"/>
    <w:rsid w:val="00F53DF3"/>
    <w:rsid w:val="00F60720"/>
    <w:rsid w:val="00F63001"/>
    <w:rsid w:val="00F651E9"/>
    <w:rsid w:val="00F66A06"/>
    <w:rsid w:val="00F756B8"/>
    <w:rsid w:val="00F77263"/>
    <w:rsid w:val="00F87F1C"/>
    <w:rsid w:val="00FA51B7"/>
    <w:rsid w:val="00FB0359"/>
    <w:rsid w:val="00FB1428"/>
    <w:rsid w:val="00FB1512"/>
    <w:rsid w:val="00FB700A"/>
    <w:rsid w:val="00FE1FC6"/>
    <w:rsid w:val="00FF2748"/>
    <w:rsid w:val="00FF3B86"/>
    <w:rsid w:val="00FF4A63"/>
    <w:rsid w:val="00F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oNotEmbedSmartTags/>
  <w:decimalSymbol w:val=","/>
  <w:listSeparator w:val=";"/>
  <w14:docId w14:val="4CADB501"/>
  <w15:docId w15:val="{32FFE6BB-0E98-4223-ADB8-69D7DF07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BD"/>
    <w:pPr>
      <w:autoSpaceDE w:val="0"/>
      <w:autoSpaceDN w:val="0"/>
      <w:adjustRightInd w:val="0"/>
      <w:spacing w:after="80" w:line="300" w:lineRule="auto"/>
      <w:ind w:firstLine="567"/>
      <w:jc w:val="both"/>
    </w:pPr>
    <w:rPr>
      <w:rFonts w:ascii="Garamond" w:hAnsi="Garamond" w:cs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E02BBD"/>
    <w:pPr>
      <w:pBdr>
        <w:bottom w:val="thinThickSmallGap" w:sz="12" w:space="1" w:color="943634"/>
      </w:pBdr>
      <w:spacing w:before="400" w:after="240"/>
      <w:ind w:firstLine="0"/>
      <w:jc w:val="center"/>
      <w:outlineLvl w:val="0"/>
    </w:pPr>
    <w:rPr>
      <w:rFonts w:cs="Times New Roman"/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ter"/>
    <w:autoRedefine/>
    <w:uiPriority w:val="9"/>
    <w:qFormat/>
    <w:rsid w:val="00740EBA"/>
    <w:pPr>
      <w:pBdr>
        <w:bottom w:val="single" w:sz="4" w:space="1" w:color="622423"/>
      </w:pBdr>
      <w:tabs>
        <w:tab w:val="left" w:pos="1680"/>
        <w:tab w:val="center" w:pos="4252"/>
      </w:tabs>
      <w:spacing w:before="400"/>
      <w:ind w:firstLine="0"/>
      <w:jc w:val="center"/>
      <w:outlineLvl w:val="1"/>
    </w:pPr>
    <w:rPr>
      <w:rFonts w:cs="Times New Roman"/>
      <w:caps/>
      <w:color w:val="632423"/>
      <w:spacing w:val="15"/>
    </w:rPr>
  </w:style>
  <w:style w:type="paragraph" w:styleId="Ttulo3">
    <w:name w:val="heading 3"/>
    <w:basedOn w:val="Normal"/>
    <w:next w:val="Normal"/>
    <w:link w:val="Ttulo3Carter"/>
    <w:autoRedefine/>
    <w:uiPriority w:val="9"/>
    <w:qFormat/>
    <w:rsid w:val="00E02BBD"/>
    <w:pPr>
      <w:pBdr>
        <w:top w:val="dotted" w:sz="4" w:space="1" w:color="622423"/>
        <w:bottom w:val="dotted" w:sz="4" w:space="1" w:color="622423"/>
      </w:pBdr>
      <w:spacing w:before="300" w:after="240"/>
      <w:ind w:firstLine="0"/>
      <w:jc w:val="center"/>
      <w:outlineLvl w:val="2"/>
    </w:pPr>
    <w:rPr>
      <w:rFonts w:cs="Times New Roman"/>
      <w:caps/>
      <w:color w:val="622423"/>
    </w:rPr>
  </w:style>
  <w:style w:type="paragraph" w:styleId="Ttulo4">
    <w:name w:val="heading 4"/>
    <w:basedOn w:val="Normal"/>
    <w:next w:val="Normal"/>
    <w:link w:val="Ttulo4Carter"/>
    <w:uiPriority w:val="9"/>
    <w:qFormat/>
    <w:rsid w:val="00C92D45"/>
    <w:pPr>
      <w:pBdr>
        <w:bottom w:val="dotted" w:sz="4" w:space="1" w:color="943634"/>
      </w:pBdr>
      <w:spacing w:after="120"/>
      <w:jc w:val="center"/>
      <w:outlineLvl w:val="3"/>
    </w:pPr>
    <w:rPr>
      <w:rFonts w:ascii="Cambria" w:hAnsi="Cambria" w:cs="Times New Roman"/>
      <w:caps/>
      <w:color w:val="622423"/>
      <w:spacing w:val="10"/>
      <w:sz w:val="20"/>
      <w:szCs w:val="20"/>
    </w:rPr>
  </w:style>
  <w:style w:type="paragraph" w:styleId="Ttulo5">
    <w:name w:val="heading 5"/>
    <w:basedOn w:val="Normal"/>
    <w:next w:val="Normal"/>
    <w:link w:val="Ttulo5Carter"/>
    <w:uiPriority w:val="9"/>
    <w:qFormat/>
    <w:rsid w:val="00C92D45"/>
    <w:pPr>
      <w:spacing w:before="320" w:after="120"/>
      <w:jc w:val="center"/>
      <w:outlineLvl w:val="4"/>
    </w:pPr>
    <w:rPr>
      <w:rFonts w:ascii="Cambria" w:hAnsi="Cambria" w:cs="Times New Roman"/>
      <w:caps/>
      <w:color w:val="622423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ter"/>
    <w:uiPriority w:val="9"/>
    <w:qFormat/>
    <w:rsid w:val="00C92D45"/>
    <w:pPr>
      <w:spacing w:after="120"/>
      <w:jc w:val="center"/>
      <w:outlineLvl w:val="5"/>
    </w:pPr>
    <w:rPr>
      <w:rFonts w:ascii="Cambria" w:hAnsi="Cambria" w:cs="Times New Roman"/>
      <w:caps/>
      <w:color w:val="943634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9"/>
    <w:qFormat/>
    <w:rsid w:val="00C92D45"/>
    <w:pPr>
      <w:spacing w:after="120"/>
      <w:jc w:val="center"/>
      <w:outlineLvl w:val="6"/>
    </w:pPr>
    <w:rPr>
      <w:rFonts w:ascii="Cambria" w:hAnsi="Cambria" w:cs="Times New Roman"/>
      <w:i/>
      <w:iCs/>
      <w:caps/>
      <w:color w:val="943634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qFormat/>
    <w:rsid w:val="00C92D45"/>
    <w:pPr>
      <w:spacing w:after="120"/>
      <w:jc w:val="center"/>
      <w:outlineLvl w:val="7"/>
    </w:pPr>
    <w:rPr>
      <w:rFonts w:ascii="Cambria" w:hAnsi="Cambria" w:cs="Times New Roman"/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qFormat/>
    <w:rsid w:val="00C92D45"/>
    <w:pPr>
      <w:spacing w:after="120"/>
      <w:jc w:val="center"/>
      <w:outlineLvl w:val="8"/>
    </w:pPr>
    <w:rPr>
      <w:rFonts w:ascii="Cambria" w:hAnsi="Cambria" w:cs="Times New Roman"/>
      <w:i/>
      <w:iCs/>
      <w:caps/>
      <w:spacing w:val="1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1">
    <w:name w:val="Tipo de letra predefinido do parágrafo1"/>
    <w:rsid w:val="003E14A6"/>
  </w:style>
  <w:style w:type="paragraph" w:customStyle="1" w:styleId="Ttulo10">
    <w:name w:val="Título1"/>
    <w:basedOn w:val="Normal"/>
    <w:next w:val="Corpodetexto"/>
    <w:rsid w:val="003E14A6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Corpodetexto">
    <w:name w:val="Body Text"/>
    <w:basedOn w:val="Normal"/>
    <w:rsid w:val="003E14A6"/>
    <w:pPr>
      <w:spacing w:after="120"/>
    </w:pPr>
  </w:style>
  <w:style w:type="paragraph" w:styleId="Lista">
    <w:name w:val="List"/>
    <w:basedOn w:val="Corpodetexto"/>
    <w:rsid w:val="003E14A6"/>
    <w:rPr>
      <w:rFonts w:cs="Mangal"/>
    </w:rPr>
  </w:style>
  <w:style w:type="paragraph" w:styleId="Legenda">
    <w:name w:val="caption"/>
    <w:basedOn w:val="Normal"/>
    <w:next w:val="Normal"/>
    <w:uiPriority w:val="35"/>
    <w:qFormat/>
    <w:rsid w:val="00C92D45"/>
    <w:rPr>
      <w:caps/>
      <w:spacing w:val="10"/>
      <w:sz w:val="18"/>
      <w:szCs w:val="18"/>
    </w:rPr>
  </w:style>
  <w:style w:type="paragraph" w:customStyle="1" w:styleId="ndice">
    <w:name w:val="Índice"/>
    <w:basedOn w:val="Normal"/>
    <w:rsid w:val="003E14A6"/>
    <w:pPr>
      <w:suppressLineNumbers/>
    </w:pPr>
    <w:rPr>
      <w:rFonts w:cs="Mangal"/>
    </w:rPr>
  </w:style>
  <w:style w:type="paragraph" w:styleId="Cabealho">
    <w:name w:val="header"/>
    <w:basedOn w:val="Normal"/>
    <w:rsid w:val="003E14A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E14A6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3E14A6"/>
    <w:pPr>
      <w:suppressLineNumbers/>
    </w:pPr>
  </w:style>
  <w:style w:type="paragraph" w:customStyle="1" w:styleId="Ttulodatabela">
    <w:name w:val="Título da tabela"/>
    <w:basedOn w:val="Contedodatabela"/>
    <w:rsid w:val="003E14A6"/>
    <w:pPr>
      <w:jc w:val="center"/>
    </w:pPr>
    <w:rPr>
      <w:b/>
      <w:bCs/>
    </w:rPr>
  </w:style>
  <w:style w:type="paragraph" w:customStyle="1" w:styleId="ListParagraph2">
    <w:name w:val="List Paragraph2"/>
    <w:basedOn w:val="Normal"/>
    <w:rsid w:val="00BB54E9"/>
    <w:pPr>
      <w:spacing w:line="276" w:lineRule="auto"/>
      <w:ind w:left="708"/>
    </w:pPr>
    <w:rPr>
      <w:rFonts w:ascii="Calibri" w:hAnsi="Calibri"/>
    </w:rPr>
  </w:style>
  <w:style w:type="paragraph" w:customStyle="1" w:styleId="NoSpacing1">
    <w:name w:val="No Spacing1"/>
    <w:link w:val="NoSpacingChar"/>
    <w:rsid w:val="00BB54E9"/>
    <w:pPr>
      <w:spacing w:after="200" w:line="252" w:lineRule="auto"/>
    </w:pPr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1"/>
    <w:locked/>
    <w:rsid w:val="00BB54E9"/>
    <w:rPr>
      <w:rFonts w:ascii="Calibri" w:eastAsia="Calibri" w:hAnsi="Calibri"/>
      <w:sz w:val="22"/>
      <w:szCs w:val="22"/>
      <w:lang w:val="pt-PT" w:eastAsia="pt-PT" w:bidi="ar-SA"/>
    </w:rPr>
  </w:style>
  <w:style w:type="paragraph" w:styleId="PargrafodaLista">
    <w:name w:val="List Paragraph"/>
    <w:basedOn w:val="Normal"/>
    <w:uiPriority w:val="34"/>
    <w:qFormat/>
    <w:rsid w:val="00C92D45"/>
    <w:pPr>
      <w:ind w:left="720"/>
      <w:contextualSpacing/>
    </w:pPr>
  </w:style>
  <w:style w:type="paragraph" w:customStyle="1" w:styleId="Default">
    <w:name w:val="Default"/>
    <w:rsid w:val="00521C1F"/>
    <w:pPr>
      <w:autoSpaceDE w:val="0"/>
      <w:autoSpaceDN w:val="0"/>
      <w:adjustRightInd w:val="0"/>
      <w:spacing w:after="200" w:line="252" w:lineRule="auto"/>
    </w:pPr>
    <w:rPr>
      <w:color w:val="000000"/>
      <w:sz w:val="24"/>
      <w:szCs w:val="24"/>
      <w:lang w:eastAsia="en-US"/>
    </w:rPr>
  </w:style>
  <w:style w:type="paragraph" w:styleId="NormalWeb">
    <w:name w:val="Normal (Web)"/>
    <w:basedOn w:val="Normal"/>
    <w:rsid w:val="004D1663"/>
    <w:pPr>
      <w:spacing w:before="100" w:beforeAutospacing="1" w:after="100" w:afterAutospacing="1"/>
    </w:pPr>
  </w:style>
  <w:style w:type="character" w:styleId="Hiperligao">
    <w:name w:val="Hyperlink"/>
    <w:uiPriority w:val="99"/>
    <w:rsid w:val="00A83269"/>
    <w:rPr>
      <w:color w:val="0000FF"/>
      <w:u w:val="single"/>
    </w:rPr>
  </w:style>
  <w:style w:type="character" w:customStyle="1" w:styleId="gctitulo">
    <w:name w:val="gctitulo"/>
    <w:rsid w:val="00A83269"/>
  </w:style>
  <w:style w:type="character" w:styleId="Forte">
    <w:name w:val="Strong"/>
    <w:uiPriority w:val="22"/>
    <w:qFormat/>
    <w:rsid w:val="00C92D45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C92D45"/>
    <w:rPr>
      <w:caps/>
      <w:spacing w:val="5"/>
      <w:sz w:val="20"/>
      <w:szCs w:val="20"/>
    </w:rPr>
  </w:style>
  <w:style w:type="character" w:customStyle="1" w:styleId="Cabealho1Carcter1">
    <w:name w:val="Cabeçalho 1 Carácter1"/>
    <w:uiPriority w:val="9"/>
    <w:rsid w:val="004C2C6B"/>
    <w:rPr>
      <w:rFonts w:ascii="Cambria" w:eastAsia="Times New Roman" w:hAnsi="Cambria" w:cs="Times New Roman"/>
      <w:color w:val="365F91"/>
      <w:sz w:val="32"/>
      <w:szCs w:val="32"/>
    </w:rPr>
  </w:style>
  <w:style w:type="paragraph" w:styleId="Ttulo">
    <w:name w:val="Title"/>
    <w:basedOn w:val="Normal"/>
    <w:next w:val="Normal"/>
    <w:link w:val="TtuloCarter"/>
    <w:autoRedefine/>
    <w:uiPriority w:val="10"/>
    <w:qFormat/>
    <w:rsid w:val="00E02BBD"/>
    <w:pPr>
      <w:pBdr>
        <w:top w:val="dotted" w:sz="2" w:space="1" w:color="632423"/>
        <w:bottom w:val="dotted" w:sz="2" w:space="6" w:color="632423"/>
      </w:pBdr>
      <w:spacing w:before="500" w:after="300" w:line="240" w:lineRule="auto"/>
      <w:ind w:firstLine="0"/>
      <w:jc w:val="center"/>
    </w:pPr>
    <w:rPr>
      <w:rFonts w:cs="Times New Roman"/>
      <w:caps/>
      <w:color w:val="632423"/>
      <w:spacing w:val="50"/>
      <w:sz w:val="44"/>
      <w:szCs w:val="44"/>
    </w:rPr>
  </w:style>
  <w:style w:type="character" w:customStyle="1" w:styleId="TtuloCarcter1">
    <w:name w:val="Título Carácter1"/>
    <w:uiPriority w:val="10"/>
    <w:rsid w:val="004C2C6B"/>
    <w:rPr>
      <w:rFonts w:ascii="Cambria" w:eastAsia="Times New Roman" w:hAnsi="Cambria" w:cs="Times New Roman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92D45"/>
    <w:pPr>
      <w:spacing w:after="560" w:line="240" w:lineRule="auto"/>
      <w:jc w:val="center"/>
    </w:pPr>
    <w:rPr>
      <w:rFonts w:ascii="Cambria" w:hAnsi="Cambria" w:cs="Times New Roman"/>
      <w:caps/>
      <w:spacing w:val="20"/>
      <w:sz w:val="18"/>
      <w:szCs w:val="18"/>
    </w:rPr>
  </w:style>
  <w:style w:type="character" w:customStyle="1" w:styleId="SubttuloCarcter1">
    <w:name w:val="Subtítulo Carácter1"/>
    <w:uiPriority w:val="11"/>
    <w:rsid w:val="004C2C6B"/>
    <w:rPr>
      <w:color w:val="5A5A5A"/>
      <w:spacing w:val="15"/>
    </w:rPr>
  </w:style>
  <w:style w:type="paragraph" w:customStyle="1" w:styleId="titulo2">
    <w:name w:val="titulo 2"/>
    <w:basedOn w:val="Subttulo"/>
    <w:link w:val="titulo2Carter"/>
    <w:rsid w:val="00B34913"/>
    <w:pPr>
      <w:numPr>
        <w:numId w:val="1"/>
      </w:numPr>
      <w:ind w:left="1423" w:hanging="357"/>
    </w:pPr>
    <w:rPr>
      <w:rFonts w:ascii="Garamond" w:hAnsi="Garamond"/>
      <w:color w:val="5A5A5A"/>
    </w:rPr>
  </w:style>
  <w:style w:type="paragraph" w:customStyle="1" w:styleId="headings">
    <w:name w:val="headings"/>
    <w:basedOn w:val="Normal"/>
    <w:link w:val="headingsCarter"/>
    <w:autoRedefine/>
    <w:rsid w:val="000F171D"/>
    <w:pPr>
      <w:numPr>
        <w:numId w:val="2"/>
      </w:numPr>
      <w:ind w:left="360"/>
    </w:pPr>
    <w:rPr>
      <w:rFonts w:ascii="Arial" w:hAnsi="Arial" w:cs="Times New Roman"/>
      <w:caps/>
      <w:color w:val="000000"/>
    </w:rPr>
  </w:style>
  <w:style w:type="character" w:customStyle="1" w:styleId="titulo2Carter">
    <w:name w:val="titulo 2 Caráter"/>
    <w:link w:val="titulo2"/>
    <w:rsid w:val="00B34913"/>
    <w:rPr>
      <w:rFonts w:ascii="Garamond" w:hAnsi="Garamond" w:cs="Arial"/>
      <w:caps/>
      <w:color w:val="5A5A5A"/>
      <w:spacing w:val="20"/>
      <w:sz w:val="18"/>
      <w:szCs w:val="18"/>
      <w:lang w:val="pt-PT"/>
    </w:rPr>
  </w:style>
  <w:style w:type="character" w:customStyle="1" w:styleId="WW8Num12z0">
    <w:name w:val="WW8Num12z0"/>
    <w:rsid w:val="00926F77"/>
    <w:rPr>
      <w:rFonts w:cs="Times New Roman"/>
    </w:rPr>
  </w:style>
  <w:style w:type="character" w:customStyle="1" w:styleId="headingsCarter">
    <w:name w:val="headings Caráter"/>
    <w:link w:val="headings"/>
    <w:rsid w:val="000F171D"/>
    <w:rPr>
      <w:rFonts w:ascii="Arial" w:hAnsi="Arial"/>
      <w:caps/>
      <w:color w:val="000000"/>
      <w:sz w:val="24"/>
      <w:szCs w:val="24"/>
    </w:rPr>
  </w:style>
  <w:style w:type="character" w:customStyle="1" w:styleId="Ttulo3Carter">
    <w:name w:val="Título 3 Caráter"/>
    <w:link w:val="Ttulo3"/>
    <w:uiPriority w:val="9"/>
    <w:rsid w:val="00E02BBD"/>
    <w:rPr>
      <w:rFonts w:ascii="Garamond" w:hAnsi="Garamond" w:cs="Arial"/>
      <w:caps/>
      <w:color w:val="622423"/>
      <w:sz w:val="24"/>
      <w:szCs w:val="24"/>
    </w:rPr>
  </w:style>
  <w:style w:type="paragraph" w:customStyle="1" w:styleId="ListParagraph1">
    <w:name w:val="List Paragraph1"/>
    <w:basedOn w:val="Normal"/>
    <w:rsid w:val="00D31D3C"/>
    <w:pPr>
      <w:spacing w:line="276" w:lineRule="auto"/>
      <w:ind w:left="720"/>
    </w:pPr>
    <w:rPr>
      <w:rFonts w:ascii="Calibri" w:hAnsi="Calibri" w:cs="Calibri"/>
    </w:rPr>
  </w:style>
  <w:style w:type="paragraph" w:customStyle="1" w:styleId="Normal1">
    <w:name w:val="Normal1"/>
    <w:rsid w:val="00D31D3C"/>
    <w:pPr>
      <w:suppressAutoHyphens/>
      <w:autoSpaceDE w:val="0"/>
      <w:spacing w:after="200" w:line="252" w:lineRule="auto"/>
    </w:pPr>
    <w:rPr>
      <w:rFonts w:ascii="Arial" w:hAnsi="Arial" w:cs="Arial"/>
      <w:color w:val="000000"/>
      <w:sz w:val="24"/>
      <w:szCs w:val="24"/>
      <w:lang w:eastAsia="zh-CN"/>
    </w:rPr>
  </w:style>
  <w:style w:type="paragraph" w:styleId="ndice1">
    <w:name w:val="toc 1"/>
    <w:basedOn w:val="Normal"/>
    <w:next w:val="Normal"/>
    <w:autoRedefine/>
    <w:uiPriority w:val="39"/>
    <w:rsid w:val="006A762A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rsid w:val="006A762A"/>
    <w:pPr>
      <w:spacing w:after="0"/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ndice2">
    <w:name w:val="toc 2"/>
    <w:basedOn w:val="Normal"/>
    <w:next w:val="Normal"/>
    <w:uiPriority w:val="39"/>
    <w:rsid w:val="006A762A"/>
    <w:pPr>
      <w:spacing w:after="0"/>
      <w:ind w:left="240"/>
      <w:jc w:val="left"/>
    </w:pPr>
    <w:rPr>
      <w:rFonts w:ascii="Calibri" w:hAnsi="Calibri"/>
      <w:smallCaps/>
      <w:sz w:val="20"/>
      <w:szCs w:val="20"/>
    </w:rPr>
  </w:style>
  <w:style w:type="character" w:customStyle="1" w:styleId="TtuloCarter">
    <w:name w:val="Título Caráter"/>
    <w:link w:val="Ttulo"/>
    <w:uiPriority w:val="10"/>
    <w:rsid w:val="00E02BBD"/>
    <w:rPr>
      <w:rFonts w:ascii="Garamond" w:hAnsi="Garamond" w:cs="Arial"/>
      <w:caps/>
      <w:color w:val="632423"/>
      <w:spacing w:val="50"/>
      <w:sz w:val="44"/>
      <w:szCs w:val="44"/>
    </w:rPr>
  </w:style>
  <w:style w:type="character" w:customStyle="1" w:styleId="SubttuloCarter">
    <w:name w:val="Subtítulo Caráter"/>
    <w:link w:val="Subttulo"/>
    <w:uiPriority w:val="11"/>
    <w:rsid w:val="00C92D45"/>
    <w:rPr>
      <w:caps/>
      <w:spacing w:val="20"/>
      <w:sz w:val="18"/>
      <w:szCs w:val="18"/>
    </w:rPr>
  </w:style>
  <w:style w:type="character" w:customStyle="1" w:styleId="Cabealho2Carcter1">
    <w:name w:val="Cabeçalho 2 Carácter1"/>
    <w:uiPriority w:val="9"/>
    <w:rsid w:val="004C2C6B"/>
    <w:rPr>
      <w:rFonts w:ascii="Cambria" w:eastAsia="Times New Roman" w:hAnsi="Cambria" w:cs="Times New Roman"/>
      <w:color w:val="365F91"/>
      <w:sz w:val="28"/>
      <w:szCs w:val="28"/>
    </w:rPr>
  </w:style>
  <w:style w:type="character" w:customStyle="1" w:styleId="Ttulo1Carter">
    <w:name w:val="Título 1 Caráter"/>
    <w:link w:val="Ttulo1"/>
    <w:uiPriority w:val="9"/>
    <w:rsid w:val="00E02BBD"/>
    <w:rPr>
      <w:rFonts w:ascii="Garamond" w:hAnsi="Garamond" w:cs="Arial"/>
      <w:caps/>
      <w:color w:val="632423"/>
      <w:spacing w:val="20"/>
      <w:sz w:val="28"/>
      <w:szCs w:val="28"/>
    </w:rPr>
  </w:style>
  <w:style w:type="character" w:customStyle="1" w:styleId="Ttulo2Carter">
    <w:name w:val="Título 2 Caráter"/>
    <w:link w:val="Ttulo2"/>
    <w:uiPriority w:val="9"/>
    <w:rsid w:val="00740EBA"/>
    <w:rPr>
      <w:rFonts w:ascii="Garamond" w:hAnsi="Garamond" w:cs="Arial"/>
      <w:caps/>
      <w:color w:val="632423"/>
      <w:spacing w:val="15"/>
      <w:sz w:val="24"/>
      <w:szCs w:val="24"/>
      <w:lang w:eastAsia="en-US"/>
    </w:rPr>
  </w:style>
  <w:style w:type="character" w:customStyle="1" w:styleId="Caracteresdanotaderodap">
    <w:name w:val="Caracteres da nota de rodapé"/>
    <w:rsid w:val="00C96E7D"/>
    <w:rPr>
      <w:vertAlign w:val="superscript"/>
    </w:rPr>
  </w:style>
  <w:style w:type="character" w:customStyle="1" w:styleId="Ttulo1Carcter">
    <w:name w:val="Título 1 Carácter"/>
    <w:rsid w:val="00C96E7D"/>
    <w:rPr>
      <w:rFonts w:ascii="Arial" w:hAnsi="Arial" w:cs="Arial"/>
      <w:b/>
      <w:bCs/>
      <w:kern w:val="1"/>
      <w:sz w:val="32"/>
      <w:szCs w:val="32"/>
      <w:lang w:val="pt-PT" w:bidi="ar-SA"/>
    </w:rPr>
  </w:style>
  <w:style w:type="character" w:customStyle="1" w:styleId="Ligaodendice">
    <w:name w:val="Ligação de índice"/>
    <w:rsid w:val="00C96E7D"/>
  </w:style>
  <w:style w:type="paragraph" w:styleId="Textodenotaderodap">
    <w:name w:val="footnote text"/>
    <w:basedOn w:val="Normal"/>
    <w:link w:val="TextodenotaderodapCarter"/>
    <w:rsid w:val="00C96E7D"/>
    <w:pPr>
      <w:spacing w:line="240" w:lineRule="auto"/>
    </w:pPr>
    <w:rPr>
      <w:rFonts w:ascii="Cambria" w:hAnsi="Cambria" w:cs="Times New Roman"/>
      <w:sz w:val="20"/>
      <w:szCs w:val="20"/>
      <w:lang w:eastAsia="zh-CN"/>
    </w:rPr>
  </w:style>
  <w:style w:type="character" w:customStyle="1" w:styleId="TextodenotaderodapCarter">
    <w:name w:val="Texto de nota de rodapé Caráter"/>
    <w:link w:val="Textodenotaderodap"/>
    <w:rsid w:val="00C96E7D"/>
    <w:rPr>
      <w:lang w:eastAsia="zh-CN"/>
    </w:rPr>
  </w:style>
  <w:style w:type="paragraph" w:customStyle="1" w:styleId="Cabealhodondice1">
    <w:name w:val="Cabeçalho do Índice1"/>
    <w:basedOn w:val="Ttulo1"/>
    <w:next w:val="Normal"/>
    <w:uiPriority w:val="39"/>
    <w:rsid w:val="002A476C"/>
    <w:pPr>
      <w:outlineLvl w:val="9"/>
    </w:pPr>
    <w:rPr>
      <w:rFonts w:ascii="Calibri Light" w:hAnsi="Calibri Light"/>
      <w:b/>
      <w:bCs/>
      <w:color w:val="2E74B5"/>
    </w:rPr>
  </w:style>
  <w:style w:type="paragraph" w:styleId="ndice4">
    <w:name w:val="toc 4"/>
    <w:basedOn w:val="Normal"/>
    <w:next w:val="Normal"/>
    <w:autoRedefine/>
    <w:uiPriority w:val="39"/>
    <w:unhideWhenUsed/>
    <w:rsid w:val="002A476C"/>
    <w:pPr>
      <w:spacing w:after="0"/>
      <w:ind w:left="720"/>
      <w:jc w:val="left"/>
    </w:pPr>
    <w:rPr>
      <w:rFonts w:ascii="Calibri" w:hAnsi="Calibr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2A476C"/>
    <w:pPr>
      <w:spacing w:after="0"/>
      <w:ind w:left="960"/>
      <w:jc w:val="left"/>
    </w:pPr>
    <w:rPr>
      <w:rFonts w:ascii="Calibri" w:hAnsi="Calibr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2A476C"/>
    <w:pPr>
      <w:spacing w:after="0"/>
      <w:ind w:left="1200"/>
      <w:jc w:val="left"/>
    </w:pPr>
    <w:rPr>
      <w:rFonts w:ascii="Calibri" w:hAnsi="Calibr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2A476C"/>
    <w:pPr>
      <w:spacing w:after="0"/>
      <w:ind w:left="1440"/>
      <w:jc w:val="left"/>
    </w:pPr>
    <w:rPr>
      <w:rFonts w:ascii="Calibri" w:hAnsi="Calibr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2A476C"/>
    <w:pPr>
      <w:spacing w:after="0"/>
      <w:ind w:left="1680"/>
      <w:jc w:val="left"/>
    </w:pPr>
    <w:rPr>
      <w:rFonts w:ascii="Calibri" w:hAnsi="Calibr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2A476C"/>
    <w:pPr>
      <w:spacing w:after="0"/>
      <w:ind w:left="1920"/>
      <w:jc w:val="left"/>
    </w:pPr>
    <w:rPr>
      <w:rFonts w:ascii="Calibri" w:hAnsi="Calibri"/>
      <w:sz w:val="18"/>
      <w:szCs w:val="18"/>
    </w:rPr>
  </w:style>
  <w:style w:type="table" w:customStyle="1" w:styleId="Tabelacomgrelha1">
    <w:name w:val="Tabela com grelha1"/>
    <w:basedOn w:val="Tabelanormal"/>
    <w:rsid w:val="00C83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C92D45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F77BE"/>
    <w:pPr>
      <w:spacing w:line="240" w:lineRule="auto"/>
    </w:pPr>
    <w:rPr>
      <w:rFonts w:ascii="Tahoma" w:hAnsi="Tahoma" w:cs="Times New Roman"/>
      <w:sz w:val="16"/>
      <w:szCs w:val="16"/>
      <w:lang w:eastAsia="zh-CN"/>
    </w:rPr>
  </w:style>
  <w:style w:type="character" w:customStyle="1" w:styleId="TextodebaloCarter">
    <w:name w:val="Texto de balão Caráter"/>
    <w:link w:val="Textodebalo"/>
    <w:uiPriority w:val="99"/>
    <w:semiHidden/>
    <w:rsid w:val="005F77BE"/>
    <w:rPr>
      <w:rFonts w:ascii="Tahoma" w:hAnsi="Tahoma" w:cs="Tahoma"/>
      <w:sz w:val="16"/>
      <w:szCs w:val="16"/>
      <w:lang w:val="pt-PT" w:eastAsia="zh-CN"/>
    </w:rPr>
  </w:style>
  <w:style w:type="character" w:styleId="Refdecomentrio">
    <w:name w:val="annotation reference"/>
    <w:uiPriority w:val="99"/>
    <w:semiHidden/>
    <w:unhideWhenUsed/>
    <w:rsid w:val="00BB0E0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BB0E01"/>
    <w:pPr>
      <w:spacing w:line="240" w:lineRule="auto"/>
    </w:pPr>
    <w:rPr>
      <w:rFonts w:ascii="Arial" w:hAnsi="Arial" w:cs="Times New Roman"/>
      <w:sz w:val="20"/>
      <w:szCs w:val="20"/>
      <w:lang w:eastAsia="zh-CN"/>
    </w:rPr>
  </w:style>
  <w:style w:type="character" w:customStyle="1" w:styleId="TextodecomentrioCarter">
    <w:name w:val="Texto de comentário Caráter"/>
    <w:link w:val="Textodecomentrio"/>
    <w:uiPriority w:val="99"/>
    <w:rsid w:val="00BB0E01"/>
    <w:rPr>
      <w:rFonts w:ascii="Arial" w:hAnsi="Arial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B0E01"/>
    <w:rPr>
      <w:b/>
      <w:bCs/>
    </w:rPr>
  </w:style>
  <w:style w:type="character" w:customStyle="1" w:styleId="AssuntodecomentrioCarter">
    <w:name w:val="Assunto de comentário Caráter"/>
    <w:link w:val="Assuntodecomentrio"/>
    <w:uiPriority w:val="99"/>
    <w:semiHidden/>
    <w:rsid w:val="00BB0E01"/>
    <w:rPr>
      <w:rFonts w:ascii="Arial" w:hAnsi="Arial"/>
      <w:b/>
      <w:bCs/>
      <w:lang w:eastAsia="zh-CN"/>
    </w:rPr>
  </w:style>
  <w:style w:type="character" w:customStyle="1" w:styleId="Ttulo4Carter">
    <w:name w:val="Título 4 Caráter"/>
    <w:link w:val="Ttulo4"/>
    <w:uiPriority w:val="9"/>
    <w:semiHidden/>
    <w:rsid w:val="00C92D45"/>
    <w:rPr>
      <w:caps/>
      <w:color w:val="622423"/>
      <w:spacing w:val="10"/>
    </w:rPr>
  </w:style>
  <w:style w:type="character" w:customStyle="1" w:styleId="Ttulo5Carter">
    <w:name w:val="Título 5 Caráter"/>
    <w:link w:val="Ttulo5"/>
    <w:uiPriority w:val="9"/>
    <w:semiHidden/>
    <w:rsid w:val="00C92D45"/>
    <w:rPr>
      <w:caps/>
      <w:color w:val="622423"/>
      <w:spacing w:val="10"/>
    </w:rPr>
  </w:style>
  <w:style w:type="character" w:customStyle="1" w:styleId="Ttulo6Carter">
    <w:name w:val="Título 6 Caráter"/>
    <w:link w:val="Ttulo6"/>
    <w:uiPriority w:val="9"/>
    <w:semiHidden/>
    <w:rsid w:val="00C92D45"/>
    <w:rPr>
      <w:caps/>
      <w:color w:val="943634"/>
      <w:spacing w:val="10"/>
    </w:rPr>
  </w:style>
  <w:style w:type="character" w:customStyle="1" w:styleId="Ttulo7Carter">
    <w:name w:val="Título 7 Caráter"/>
    <w:link w:val="Ttulo7"/>
    <w:uiPriority w:val="9"/>
    <w:semiHidden/>
    <w:rsid w:val="00C92D45"/>
    <w:rPr>
      <w:i/>
      <w:iCs/>
      <w:caps/>
      <w:color w:val="943634"/>
      <w:spacing w:val="10"/>
    </w:rPr>
  </w:style>
  <w:style w:type="character" w:customStyle="1" w:styleId="Ttulo8Carter">
    <w:name w:val="Título 8 Caráter"/>
    <w:link w:val="Ttulo8"/>
    <w:uiPriority w:val="9"/>
    <w:semiHidden/>
    <w:rsid w:val="00C92D45"/>
    <w:rPr>
      <w:caps/>
      <w:spacing w:val="10"/>
      <w:sz w:val="20"/>
      <w:szCs w:val="20"/>
    </w:rPr>
  </w:style>
  <w:style w:type="character" w:customStyle="1" w:styleId="Ttulo9Carter">
    <w:name w:val="Título 9 Caráter"/>
    <w:link w:val="Ttulo9"/>
    <w:uiPriority w:val="9"/>
    <w:semiHidden/>
    <w:rsid w:val="00C92D45"/>
    <w:rPr>
      <w:i/>
      <w:iCs/>
      <w:caps/>
      <w:spacing w:val="10"/>
      <w:sz w:val="20"/>
      <w:szCs w:val="20"/>
    </w:rPr>
  </w:style>
  <w:style w:type="paragraph" w:styleId="SemEspaamento">
    <w:name w:val="No Spacing"/>
    <w:basedOn w:val="Normal"/>
    <w:link w:val="SemEspaamentoCarter"/>
    <w:uiPriority w:val="1"/>
    <w:qFormat/>
    <w:rsid w:val="00C92D45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C92D45"/>
    <w:rPr>
      <w:rFonts w:ascii="Cambria" w:hAnsi="Cambria" w:cs="Times New Roman"/>
      <w:i/>
      <w:iCs/>
      <w:sz w:val="20"/>
      <w:szCs w:val="20"/>
    </w:rPr>
  </w:style>
  <w:style w:type="character" w:customStyle="1" w:styleId="CitaoCarter">
    <w:name w:val="Citação Caráter"/>
    <w:link w:val="Citao"/>
    <w:uiPriority w:val="29"/>
    <w:rsid w:val="00C92D4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92D45"/>
    <w:pPr>
      <w:pBdr>
        <w:top w:val="dotted" w:sz="2" w:space="10" w:color="632423"/>
        <w:bottom w:val="dotted" w:sz="2" w:space="4" w:color="632423"/>
      </w:pBdr>
      <w:spacing w:before="160"/>
      <w:ind w:left="1440" w:right="1440"/>
    </w:pPr>
    <w:rPr>
      <w:rFonts w:ascii="Cambria" w:hAnsi="Cambria" w:cs="Times New Roman"/>
      <w:caps/>
      <w:color w:val="622423"/>
      <w:spacing w:val="5"/>
      <w:sz w:val="20"/>
      <w:szCs w:val="20"/>
    </w:rPr>
  </w:style>
  <w:style w:type="character" w:customStyle="1" w:styleId="CitaoIntensaCarter">
    <w:name w:val="Citação Intensa Caráter"/>
    <w:link w:val="CitaoIntensa"/>
    <w:uiPriority w:val="30"/>
    <w:rsid w:val="00C92D45"/>
    <w:rPr>
      <w:caps/>
      <w:color w:val="622423"/>
      <w:spacing w:val="5"/>
      <w:sz w:val="20"/>
      <w:szCs w:val="20"/>
    </w:rPr>
  </w:style>
  <w:style w:type="character" w:customStyle="1" w:styleId="nfaseDiscreto1">
    <w:name w:val="Ênfase Discreto1"/>
    <w:uiPriority w:val="19"/>
    <w:qFormat/>
    <w:rsid w:val="00C92D45"/>
    <w:rPr>
      <w:i/>
      <w:iCs/>
    </w:rPr>
  </w:style>
  <w:style w:type="character" w:customStyle="1" w:styleId="nfaseIntenso1">
    <w:name w:val="Ênfase Intenso1"/>
    <w:uiPriority w:val="21"/>
    <w:qFormat/>
    <w:rsid w:val="00C92D45"/>
    <w:rPr>
      <w:i/>
      <w:iCs/>
      <w:caps/>
      <w:spacing w:val="10"/>
      <w:sz w:val="20"/>
      <w:szCs w:val="20"/>
    </w:rPr>
  </w:style>
  <w:style w:type="character" w:styleId="RefernciaDiscreta">
    <w:name w:val="Subtle Reference"/>
    <w:uiPriority w:val="31"/>
    <w:qFormat/>
    <w:rsid w:val="00C92D45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C92D45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C92D45"/>
    <w:rPr>
      <w:caps/>
      <w:color w:val="622423"/>
      <w:spacing w:val="5"/>
      <w:u w:color="622423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92D45"/>
  </w:style>
  <w:style w:type="paragraph" w:customStyle="1" w:styleId="cabecalho">
    <w:name w:val="cabecalho"/>
    <w:basedOn w:val="Normal"/>
    <w:link w:val="cabecalhoCarcter"/>
    <w:qFormat/>
    <w:rsid w:val="00D11476"/>
    <w:pPr>
      <w:spacing w:after="0" w:line="240" w:lineRule="auto"/>
      <w:ind w:firstLine="0"/>
    </w:pPr>
    <w:rPr>
      <w:rFonts w:cs="Times New Roman"/>
      <w:sz w:val="20"/>
    </w:rPr>
  </w:style>
  <w:style w:type="paragraph" w:customStyle="1" w:styleId="titulocabealho">
    <w:name w:val="titulo cabeçalho"/>
    <w:basedOn w:val="cabecalho"/>
    <w:link w:val="titulocabealhoCarcter"/>
    <w:qFormat/>
    <w:rsid w:val="00C84CC9"/>
    <w:pPr>
      <w:jc w:val="right"/>
    </w:pPr>
    <w:rPr>
      <w:rFonts w:ascii="Harry" w:hAnsi="Harry"/>
      <w:b/>
      <w:sz w:val="28"/>
    </w:rPr>
  </w:style>
  <w:style w:type="character" w:customStyle="1" w:styleId="cabecalhoCarcter">
    <w:name w:val="cabecalho Carácter"/>
    <w:link w:val="cabecalho"/>
    <w:rsid w:val="00D11476"/>
    <w:rPr>
      <w:rFonts w:ascii="Garamond" w:hAnsi="Garamond" w:cs="Arial"/>
      <w:szCs w:val="24"/>
    </w:rPr>
  </w:style>
  <w:style w:type="character" w:customStyle="1" w:styleId="titulocabealhoCarcter">
    <w:name w:val="titulo cabeçalho Carácter"/>
    <w:link w:val="titulocabealho"/>
    <w:rsid w:val="00C84CC9"/>
    <w:rPr>
      <w:rFonts w:ascii="Harry" w:hAnsi="Harry" w:cs="Arial"/>
      <w:b/>
      <w:sz w:val="28"/>
      <w:szCs w:val="24"/>
      <w:lang w:eastAsia="en-US"/>
    </w:rPr>
  </w:style>
  <w:style w:type="table" w:styleId="ListaClara-Cor6">
    <w:name w:val="Light List Accent 6"/>
    <w:basedOn w:val="Tabelanormal"/>
    <w:uiPriority w:val="61"/>
    <w:rsid w:val="000E12CB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staColorida-Cor5">
    <w:name w:val="Colorful List Accent 5"/>
    <w:basedOn w:val="Tabelanormal"/>
    <w:uiPriority w:val="72"/>
    <w:rsid w:val="000E12CB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aClara-Cor2">
    <w:name w:val="Light List Accent 2"/>
    <w:basedOn w:val="Tabelanormal"/>
    <w:uiPriority w:val="61"/>
    <w:rsid w:val="00180BBA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GrelhaMdia1-Cor6">
    <w:name w:val="Medium Grid 1 Accent 6"/>
    <w:basedOn w:val="Tabelanormal"/>
    <w:uiPriority w:val="67"/>
    <w:rsid w:val="00180BBA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Reviso">
    <w:name w:val="Revision"/>
    <w:hidden/>
    <w:uiPriority w:val="99"/>
    <w:semiHidden/>
    <w:rsid w:val="0055672D"/>
    <w:rPr>
      <w:rFonts w:ascii="Garamond" w:hAnsi="Garamond" w:cs="Arial"/>
      <w:sz w:val="24"/>
      <w:szCs w:val="24"/>
      <w:lang w:eastAsia="en-US"/>
    </w:rPr>
  </w:style>
  <w:style w:type="character" w:customStyle="1" w:styleId="TextodecomentrioCarcter">
    <w:name w:val="Texto de comentário Carácter"/>
    <w:uiPriority w:val="99"/>
    <w:rsid w:val="00246EB1"/>
    <w:rPr>
      <w:rFonts w:ascii="Arial" w:hAnsi="Arial"/>
      <w:lang w:eastAsia="zh-CN"/>
    </w:rPr>
  </w:style>
  <w:style w:type="character" w:customStyle="1" w:styleId="TtuloCarcter">
    <w:name w:val="Título Carácter"/>
    <w:uiPriority w:val="99"/>
    <w:rsid w:val="004F1E3E"/>
    <w:rPr>
      <w:rFonts w:ascii="Garamond" w:hAnsi="Garamond" w:cs="Arial"/>
      <w:caps/>
      <w:color w:val="632423"/>
      <w:spacing w:val="50"/>
      <w:sz w:val="44"/>
      <w:szCs w:val="44"/>
    </w:rPr>
  </w:style>
  <w:style w:type="table" w:customStyle="1" w:styleId="TabeladeGrelha5Escura-Destaque21">
    <w:name w:val="Tabela de Grelha 5 Escura - Destaque 21"/>
    <w:basedOn w:val="Tabelanormal"/>
    <w:uiPriority w:val="50"/>
    <w:rsid w:val="005636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TabeladeLista3-Destaque21">
    <w:name w:val="Tabela de Lista 3 - Destaque 21"/>
    <w:basedOn w:val="Tabelanormal"/>
    <w:uiPriority w:val="48"/>
    <w:rsid w:val="0056361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2463">
          <w:marLeft w:val="250"/>
          <w:marRight w:val="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2891</Words>
  <Characters>15616</Characters>
  <Application>Microsoft Office Word</Application>
  <DocSecurity>0</DocSecurity>
  <Lines>130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Suporte</dc:creator>
  <cp:keywords/>
  <cp:lastModifiedBy>Nuno Rodrigues</cp:lastModifiedBy>
  <cp:revision>5</cp:revision>
  <cp:lastPrinted>2016-03-17T15:07:00Z</cp:lastPrinted>
  <dcterms:created xsi:type="dcterms:W3CDTF">2019-05-15T21:31:00Z</dcterms:created>
  <dcterms:modified xsi:type="dcterms:W3CDTF">2019-05-20T18:07:00Z</dcterms:modified>
</cp:coreProperties>
</file>