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92AF3" w14:textId="77777777" w:rsidR="0019555E" w:rsidRDefault="0019555E" w:rsidP="0019555E">
      <w:pPr>
        <w:pStyle w:val="Title"/>
      </w:pPr>
      <w:bookmarkStart w:id="0" w:name="_GoBack"/>
      <w:bookmarkEnd w:id="0"/>
      <w:r>
        <w:t>Grupo 25 – AMD – AP05</w:t>
      </w:r>
    </w:p>
    <w:p w14:paraId="6961994C" w14:textId="77777777" w:rsidR="0019555E" w:rsidRDefault="0019555E" w:rsidP="0019555E">
      <w:pPr>
        <w:pStyle w:val="Heading2"/>
      </w:pPr>
      <w:r>
        <w:t>Exercício 2.b)</w:t>
      </w:r>
    </w:p>
    <w:p w14:paraId="6042DD89" w14:textId="77777777" w:rsidR="006E75B4" w:rsidRPr="006E75B4" w:rsidRDefault="006E75B4" w:rsidP="006E75B4">
      <w:r>
        <w:t xml:space="preserve">Foi feita a análise da classe </w:t>
      </w:r>
      <w:proofErr w:type="spellStart"/>
      <w:r>
        <w:t>lenses</w:t>
      </w:r>
      <w:proofErr w:type="spellEnd"/>
      <w:r>
        <w:t xml:space="preserve">, e neste caso as frequências vinham de acordo com as frequências nominais que apareceram no </w:t>
      </w:r>
      <w:proofErr w:type="spellStart"/>
      <w:r>
        <w:t>dataset</w:t>
      </w:r>
      <w:proofErr w:type="spellEnd"/>
      <w:r>
        <w:t>, pelo que a soma de todos dava o valor total de entradas.</w:t>
      </w:r>
    </w:p>
    <w:p w14:paraId="0039C450" w14:textId="77777777" w:rsidR="0019555E" w:rsidRDefault="0019555E" w:rsidP="0019555E">
      <w:pPr>
        <w:pStyle w:val="Heading2"/>
      </w:pPr>
      <w:r>
        <w:t>Exercício 2.c)</w:t>
      </w:r>
    </w:p>
    <w:p w14:paraId="432CE7FC" w14:textId="77777777" w:rsidR="006E75B4" w:rsidRDefault="006E75B4" w:rsidP="006E75B4">
      <w:r>
        <w:t xml:space="preserve">Neste caso optámos por ver a probabilidade </w:t>
      </w:r>
      <w:proofErr w:type="gramStart"/>
      <w:r>
        <w:t>da</w:t>
      </w:r>
      <w:proofErr w:type="gramEnd"/>
      <w:r>
        <w:t xml:space="preserve"> prescrição ser relacionada com o tipo de lene, e foi possível identificar que as pessoas com lentes </w:t>
      </w:r>
      <w:r w:rsidR="00515ACC">
        <w:t>rígidas</w:t>
      </w:r>
      <w:r>
        <w:t xml:space="preserve"> tinham mais tendência a sofrer de </w:t>
      </w:r>
      <w:r w:rsidR="00515ACC">
        <w:t>hipermetropia</w:t>
      </w:r>
      <w:r>
        <w:t>.</w:t>
      </w:r>
    </w:p>
    <w:p w14:paraId="2CCC8DDC" w14:textId="77777777" w:rsidR="006E75B4" w:rsidRPr="006E75B4" w:rsidRDefault="006E75B4" w:rsidP="006E75B4">
      <w:r>
        <w:t>Também foi apresentado as percentagens dentro do grupo que no caso sugerido era de 75% e no tal era de 12.5%.</w:t>
      </w:r>
    </w:p>
    <w:p w14:paraId="3E6AF495" w14:textId="77777777" w:rsidR="0019555E" w:rsidRDefault="0019555E" w:rsidP="0019555E">
      <w:pPr>
        <w:pStyle w:val="Heading2"/>
      </w:pPr>
      <w:r>
        <w:t>Exercício 2.e)</w:t>
      </w:r>
    </w:p>
    <w:p w14:paraId="2835D2CB" w14:textId="77777777" w:rsidR="0019555E" w:rsidRDefault="00515ACC" w:rsidP="00515ACC">
      <w:r>
        <w:t>Neste exercício focámo-nos na relação entre tipo de lente e astigmatismo, e conseguimos sugerir com alguma confiança, que pessoas com astigmatismo apenas usam lentes moles, enquanto que quem possui astigmatismo tem de utilizar lentes rígidas.</w:t>
      </w:r>
    </w:p>
    <w:p w14:paraId="33E48758" w14:textId="77777777" w:rsidR="001D1BF7" w:rsidRDefault="0019555E" w:rsidP="0019555E">
      <w:pPr>
        <w:pStyle w:val="Heading2"/>
      </w:pPr>
      <w:r>
        <w:t>Exercício 3.a)</w:t>
      </w:r>
    </w:p>
    <w:p w14:paraId="61290D63" w14:textId="77777777" w:rsidR="0019555E" w:rsidRDefault="0019555E">
      <w:r>
        <w:t>No primeiro teste, os resultados foram 0% para a existência de valores ausente</w:t>
      </w:r>
      <w:r w:rsidR="00EF31B5">
        <w:t xml:space="preserve">s, isto deve-se a todos os valores apresentados no </w:t>
      </w:r>
      <w:proofErr w:type="spellStart"/>
      <w:r w:rsidR="00EF31B5">
        <w:t>dataset</w:t>
      </w:r>
      <w:proofErr w:type="spellEnd"/>
      <w:r w:rsidR="00EF31B5">
        <w:t xml:space="preserve"> serem válidos e estarem presentes.</w:t>
      </w:r>
    </w:p>
    <w:p w14:paraId="7EF387AC" w14:textId="77777777" w:rsidR="00361D06" w:rsidRDefault="00EF31B5">
      <w:r>
        <w:t xml:space="preserve">De seguida foi feita uma cópia do ficheiro </w:t>
      </w:r>
      <w:proofErr w:type="spellStart"/>
      <w:r>
        <w:t>lenses</w:t>
      </w:r>
      <w:proofErr w:type="spellEnd"/>
      <w:r>
        <w:t xml:space="preserve">, no qual retirámos valores de todas os atributos, e a incidência foi retirar mais de idade e prescrição, e apenas um de estigmatismo e de </w:t>
      </w:r>
      <w:proofErr w:type="spellStart"/>
      <w:r>
        <w:t>tear_rate</w:t>
      </w:r>
      <w:proofErr w:type="spellEnd"/>
      <w:r>
        <w:t xml:space="preserve">. </w:t>
      </w:r>
      <w:r w:rsidR="00361D06">
        <w:t xml:space="preserve">A classe </w:t>
      </w:r>
      <w:proofErr w:type="spellStart"/>
      <w:r w:rsidR="00361D06">
        <w:t>lenses</w:t>
      </w:r>
      <w:proofErr w:type="spellEnd"/>
      <w:r w:rsidR="00361D06">
        <w:t xml:space="preserve"> manteve-se com 0% de valores ausentes pois não retirámos nenhum. No atributo age, retirámos 5 entradas correspondentes a 20.8%, no atributo </w:t>
      </w:r>
      <w:proofErr w:type="spellStart"/>
      <w:r w:rsidR="00361D06">
        <w:t>prescription</w:t>
      </w:r>
      <w:proofErr w:type="spellEnd"/>
      <w:r w:rsidR="00361D06">
        <w:t xml:space="preserve"> retirámos 4 valores correspondendo a 16.7% do total, e retirámos 1 entrada tanto a </w:t>
      </w:r>
      <w:proofErr w:type="spellStart"/>
      <w:r w:rsidR="00361D06">
        <w:t>astigmatic</w:t>
      </w:r>
      <w:proofErr w:type="spellEnd"/>
      <w:r w:rsidR="00361D06">
        <w:t xml:space="preserve"> como a </w:t>
      </w:r>
      <w:proofErr w:type="spellStart"/>
      <w:r w:rsidR="00361D06">
        <w:t>tear_rate</w:t>
      </w:r>
      <w:proofErr w:type="spellEnd"/>
      <w:r w:rsidR="00361D06">
        <w:t>, que correspondeu em ambos a 4.2%.</w:t>
      </w:r>
    </w:p>
    <w:p w14:paraId="5FA8C339" w14:textId="77777777" w:rsidR="0019555E" w:rsidRDefault="00361D06">
      <w:r>
        <w:t>Por fim, com o ficheiro “</w:t>
      </w:r>
      <w:proofErr w:type="spellStart"/>
      <w:r w:rsidRPr="00361D06">
        <w:t>lenses_with_missingValues</w:t>
      </w:r>
      <w:proofErr w:type="spellEnd"/>
      <w:r>
        <w:t xml:space="preserve">”, faltaram 4 entradas de age, correspondendo a 16.7%, faltou uma entrada de em </w:t>
      </w:r>
      <w:proofErr w:type="spellStart"/>
      <w:r>
        <w:t>tear_rate</w:t>
      </w:r>
      <w:proofErr w:type="spellEnd"/>
      <w:r>
        <w:t xml:space="preserve">, correspondendo a 4.2% e faltaram 2 entradas de </w:t>
      </w:r>
      <w:proofErr w:type="spellStart"/>
      <w:r>
        <w:t>lenses</w:t>
      </w:r>
      <w:proofErr w:type="spellEnd"/>
      <w:r>
        <w:t xml:space="preserve">, correspondendo a 8.3%. Nos restantes atributos não </w:t>
      </w:r>
      <w:r w:rsidR="006E75B4">
        <w:t>houve</w:t>
      </w:r>
      <w:r>
        <w:t xml:space="preserve"> valores ausentes.</w:t>
      </w:r>
    </w:p>
    <w:p w14:paraId="685657B8" w14:textId="77777777" w:rsidR="0019555E" w:rsidRDefault="0019555E" w:rsidP="0019555E">
      <w:pPr>
        <w:pStyle w:val="Heading2"/>
      </w:pPr>
      <w:r>
        <w:t>Exercício 3.</w:t>
      </w:r>
      <w:r w:rsidR="002C5DF7">
        <w:t>b</w:t>
      </w:r>
      <w:r>
        <w:t>)</w:t>
      </w:r>
    </w:p>
    <w:p w14:paraId="53700AE7" w14:textId="77777777" w:rsidR="00E90DE1" w:rsidRDefault="00E90DE1" w:rsidP="00E90DE1">
      <w:r>
        <w:t xml:space="preserve">O que a matriz de contingência mostra, é o mesmo que a regra 1R demonstra, </w:t>
      </w:r>
      <w:proofErr w:type="spellStart"/>
      <w:r>
        <w:t>excepto</w:t>
      </w:r>
      <w:proofErr w:type="spellEnd"/>
      <w:r>
        <w:t xml:space="preserve"> que demonstra de forma diferente. O 1R demonstraria a relação como erros/ valor total de entradas, e poderia ser simplificado como fração, enquanto que a matriz de contingência apresenta exclusivamente os valores que estão dentro dos parâmetros. </w:t>
      </w:r>
    </w:p>
    <w:p w14:paraId="0C5F30B0" w14:textId="77777777" w:rsidR="00E90DE1" w:rsidRPr="00E90DE1" w:rsidRDefault="00E90DE1" w:rsidP="00E90DE1">
      <w:r>
        <w:t xml:space="preserve">Por exemplo no caso de relação entre lentes e idade, para a idade </w:t>
      </w:r>
      <w:proofErr w:type="spellStart"/>
      <w:r>
        <w:t>prepresbyopic</w:t>
      </w:r>
      <w:proofErr w:type="spellEnd"/>
      <w:r>
        <w:t xml:space="preserve"> a matriz de contingência apresenta “</w:t>
      </w:r>
      <w:r w:rsidRPr="00E90DE1">
        <w:t>&lt;</w:t>
      </w:r>
      <w:proofErr w:type="spellStart"/>
      <w:r w:rsidRPr="00E90DE1">
        <w:t>pre-presbyopic</w:t>
      </w:r>
      <w:proofErr w:type="spellEnd"/>
      <w:r w:rsidRPr="00E90DE1">
        <w:t xml:space="preserve">&gt; hard: 1.0 | </w:t>
      </w:r>
      <w:proofErr w:type="spellStart"/>
      <w:r w:rsidRPr="00E90DE1">
        <w:t>none</w:t>
      </w:r>
      <w:proofErr w:type="spellEnd"/>
      <w:r w:rsidRPr="00E90DE1">
        <w:t>: 2.0 | soft: 2.0 |</w:t>
      </w:r>
      <w:r>
        <w:t>” enquanto que a regra 1R apresentaria “</w:t>
      </w:r>
      <w:r w:rsidRPr="00E90DE1">
        <w:t>&lt;</w:t>
      </w:r>
      <w:proofErr w:type="spellStart"/>
      <w:r w:rsidRPr="00E90DE1">
        <w:t>pre-presbyopic</w:t>
      </w:r>
      <w:proofErr w:type="spellEnd"/>
      <w:r w:rsidRPr="00E90DE1">
        <w:t xml:space="preserve">&gt; hard: </w:t>
      </w:r>
      <w:r>
        <w:t>4/5</w:t>
      </w:r>
      <w:r w:rsidRPr="00E90DE1">
        <w:t xml:space="preserve">| </w:t>
      </w:r>
      <w:proofErr w:type="spellStart"/>
      <w:r w:rsidRPr="00E90DE1">
        <w:t>none</w:t>
      </w:r>
      <w:proofErr w:type="spellEnd"/>
      <w:r w:rsidRPr="00E90DE1">
        <w:t xml:space="preserve">: </w:t>
      </w:r>
      <w:r>
        <w:t>3/5</w:t>
      </w:r>
      <w:r w:rsidRPr="00E90DE1">
        <w:t xml:space="preserve">| soft: </w:t>
      </w:r>
      <w:r>
        <w:t>3/5</w:t>
      </w:r>
      <w:r w:rsidRPr="00E90DE1">
        <w:t xml:space="preserve"> |</w:t>
      </w:r>
      <w:r>
        <w:t>”, no entanto acabam por conter a mesma informação.</w:t>
      </w:r>
    </w:p>
    <w:p w14:paraId="3ADB9193" w14:textId="0FA44E5F" w:rsidR="0019555E" w:rsidRDefault="0019555E" w:rsidP="0019555E">
      <w:pPr>
        <w:pStyle w:val="Heading2"/>
      </w:pPr>
      <w:r>
        <w:t>Exercício 3.</w:t>
      </w:r>
      <w:r w:rsidR="000D374B">
        <w:t>f</w:t>
      </w:r>
      <w:r>
        <w:t>)</w:t>
      </w:r>
    </w:p>
    <w:p w14:paraId="2D5F5A12" w14:textId="6C49BFE2" w:rsidR="00DC4CF5" w:rsidRPr="00DC4CF5" w:rsidRDefault="00DC4CF5" w:rsidP="00DC4CF5">
      <w:r>
        <w:t xml:space="preserve">O primeiro gráfico apresenta a matriz de erro, que é apresentada no ficheiro Excel do exercício anterior. Isto apresenta o erro que cada combinação prescrição – lente apresenta. Um dos casos curiosos é </w:t>
      </w:r>
      <w:r>
        <w:lastRenderedPageBreak/>
        <w:t xml:space="preserve">hipermetropia – lentes rígidas, que apresenta uma taxa de erro de 1, pelo que de acordo com o </w:t>
      </w:r>
      <w:proofErr w:type="spellStart"/>
      <w:r>
        <w:t>dataset</w:t>
      </w:r>
      <w:proofErr w:type="spellEnd"/>
      <w:r>
        <w:t xml:space="preserve"> podemos sugerir, que uma pessoa que tenha hipermetropia não pode usar lentes rígidas.</w:t>
      </w:r>
    </w:p>
    <w:p w14:paraId="24462A70" w14:textId="7557E28F" w:rsidR="0019555E" w:rsidRPr="000D374B" w:rsidRDefault="000D374B" w:rsidP="000D374B">
      <w:pPr>
        <w:autoSpaceDE w:val="0"/>
        <w:autoSpaceDN w:val="0"/>
        <w:adjustRightInd w:val="0"/>
        <w:spacing w:after="0" w:line="240" w:lineRule="auto"/>
        <w:rPr>
          <w:rFonts w:ascii="TTE3985170t00" w:hAnsi="TTE3985170t00" w:cs="TTE3985170t00"/>
          <w:sz w:val="21"/>
          <w:szCs w:val="21"/>
        </w:rPr>
      </w:pPr>
      <w:r>
        <w:t xml:space="preserve">Neste exercício a segunda tabela apresenta os mesmo valores para a regra 1R apresentados no slide. Mas isto apenas nas regras apresentadas, que são </w:t>
      </w:r>
      <w:r w:rsidRPr="000D374B">
        <w:rPr>
          <w:rFonts w:ascii="TTE3985170t00" w:hAnsi="TTE3985170t00" w:cs="TTE3985170t00"/>
          <w:sz w:val="21"/>
          <w:szCs w:val="21"/>
        </w:rPr>
        <w:t>('</w:t>
      </w:r>
      <w:proofErr w:type="spellStart"/>
      <w:r w:rsidRPr="000D374B">
        <w:rPr>
          <w:rFonts w:ascii="TTE3985170t00" w:hAnsi="TTE3985170t00" w:cs="TTE3985170t00"/>
          <w:sz w:val="21"/>
          <w:szCs w:val="21"/>
        </w:rPr>
        <w:t>prescription</w:t>
      </w:r>
      <w:proofErr w:type="spellEnd"/>
      <w:r w:rsidRPr="000D374B">
        <w:rPr>
          <w:rFonts w:ascii="TTE3985170t00" w:hAnsi="TTE3985170t00" w:cs="TTE3985170t00"/>
          <w:sz w:val="21"/>
          <w:szCs w:val="21"/>
        </w:rPr>
        <w:t>', '</w:t>
      </w:r>
      <w:proofErr w:type="spellStart"/>
      <w:r w:rsidRPr="000D374B">
        <w:rPr>
          <w:rFonts w:ascii="TTE3985170t00" w:hAnsi="TTE3985170t00" w:cs="TTE3985170t00"/>
          <w:sz w:val="21"/>
          <w:szCs w:val="21"/>
        </w:rPr>
        <w:t>myope</w:t>
      </w:r>
      <w:proofErr w:type="spellEnd"/>
      <w:r w:rsidRPr="000D374B">
        <w:rPr>
          <w:rFonts w:ascii="TTE3985170t00" w:hAnsi="TTE3985170t00" w:cs="TTE3985170t00"/>
          <w:sz w:val="21"/>
          <w:szCs w:val="21"/>
        </w:rPr>
        <w:t xml:space="preserve">', 'hard') </w:t>
      </w:r>
      <w:r>
        <w:rPr>
          <w:rFonts w:ascii="TTE3985170t00" w:hAnsi="TTE3985170t00" w:cs="TTE3985170t00"/>
          <w:sz w:val="21"/>
          <w:szCs w:val="21"/>
        </w:rPr>
        <w:t xml:space="preserve">e </w:t>
      </w:r>
      <w:r w:rsidRPr="000D374B">
        <w:rPr>
          <w:rFonts w:ascii="TTE3985170t00" w:hAnsi="TTE3985170t00" w:cs="TTE3985170t00"/>
          <w:sz w:val="21"/>
          <w:szCs w:val="21"/>
        </w:rPr>
        <w:t>('</w:t>
      </w:r>
      <w:proofErr w:type="spellStart"/>
      <w:r w:rsidRPr="000D374B">
        <w:rPr>
          <w:rFonts w:ascii="TTE3985170t00" w:hAnsi="TTE3985170t00" w:cs="TTE3985170t00"/>
          <w:sz w:val="21"/>
          <w:szCs w:val="21"/>
        </w:rPr>
        <w:t>prescription</w:t>
      </w:r>
      <w:proofErr w:type="spellEnd"/>
      <w:r w:rsidRPr="000D374B">
        <w:rPr>
          <w:rFonts w:ascii="TTE3985170t00" w:hAnsi="TTE3985170t00" w:cs="TTE3985170t00"/>
          <w:sz w:val="21"/>
          <w:szCs w:val="21"/>
        </w:rPr>
        <w:t>', '</w:t>
      </w:r>
      <w:proofErr w:type="spellStart"/>
      <w:r w:rsidRPr="000D374B">
        <w:rPr>
          <w:rFonts w:ascii="TTE3985170t00" w:hAnsi="TTE3985170t00" w:cs="TTE3985170t00"/>
          <w:sz w:val="21"/>
          <w:szCs w:val="21"/>
        </w:rPr>
        <w:t>hypermetrope</w:t>
      </w:r>
      <w:proofErr w:type="spellEnd"/>
      <w:r w:rsidRPr="000D374B">
        <w:rPr>
          <w:rFonts w:ascii="TTE3985170t00" w:hAnsi="TTE3985170t00" w:cs="TTE3985170t00"/>
          <w:sz w:val="21"/>
          <w:szCs w:val="21"/>
        </w:rPr>
        <w:t>', '</w:t>
      </w:r>
      <w:proofErr w:type="spellStart"/>
      <w:r w:rsidRPr="000D374B">
        <w:rPr>
          <w:rFonts w:ascii="TTE3985170t00" w:hAnsi="TTE3985170t00" w:cs="TTE3985170t00"/>
          <w:sz w:val="21"/>
          <w:szCs w:val="21"/>
        </w:rPr>
        <w:t>none</w:t>
      </w:r>
      <w:proofErr w:type="spellEnd"/>
      <w:r w:rsidRPr="000D374B">
        <w:rPr>
          <w:rFonts w:ascii="TTE3985170t00" w:hAnsi="TTE3985170t00" w:cs="TTE3985170t00"/>
          <w:sz w:val="21"/>
          <w:szCs w:val="21"/>
        </w:rPr>
        <w:t>')</w:t>
      </w:r>
      <w:r>
        <w:rPr>
          <w:rFonts w:ascii="TTE3985170t00" w:hAnsi="TTE3985170t00" w:cs="TTE3985170t00"/>
          <w:sz w:val="21"/>
          <w:szCs w:val="21"/>
        </w:rPr>
        <w:t>, sendo que a única diferença é que no slide são apresentados na forma de erro / total, enquanto que aqui são apresentadas na forma de fração.</w:t>
      </w:r>
    </w:p>
    <w:p w14:paraId="32D6D2FF" w14:textId="77777777" w:rsidR="0019555E" w:rsidRDefault="0019555E"/>
    <w:sectPr w:rsidR="001955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TE3985170t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55E"/>
    <w:rsid w:val="000D374B"/>
    <w:rsid w:val="0019555E"/>
    <w:rsid w:val="001D1BF7"/>
    <w:rsid w:val="002C5DF7"/>
    <w:rsid w:val="00361D06"/>
    <w:rsid w:val="00515ACC"/>
    <w:rsid w:val="006E75B4"/>
    <w:rsid w:val="00D8076C"/>
    <w:rsid w:val="00DC4CF5"/>
    <w:rsid w:val="00E90DE1"/>
    <w:rsid w:val="00EF3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B57E"/>
  <w15:chartTrackingRefBased/>
  <w15:docId w15:val="{2BBCB54D-8DCC-461E-A79A-ABBB281F2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55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555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pt-PT"/>
    </w:rPr>
  </w:style>
  <w:style w:type="paragraph" w:styleId="Title">
    <w:name w:val="Title"/>
    <w:basedOn w:val="Normal"/>
    <w:next w:val="Normal"/>
    <w:link w:val="TitleChar"/>
    <w:uiPriority w:val="10"/>
    <w:qFormat/>
    <w:rsid w:val="001955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555E"/>
    <w:rPr>
      <w:rFonts w:asciiTheme="majorHAnsi" w:eastAsiaTheme="majorEastAsia" w:hAnsiTheme="majorHAnsi" w:cstheme="majorBidi"/>
      <w:spacing w:val="-10"/>
      <w:kern w:val="28"/>
      <w:sz w:val="56"/>
      <w:szCs w:val="56"/>
      <w:lang w:val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95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480</Words>
  <Characters>2738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Gomes</dc:creator>
  <cp:keywords/>
  <dc:description/>
  <cp:lastModifiedBy>Nuno Gomes</cp:lastModifiedBy>
  <cp:revision>2</cp:revision>
  <dcterms:created xsi:type="dcterms:W3CDTF">2020-12-26T18:08:00Z</dcterms:created>
  <dcterms:modified xsi:type="dcterms:W3CDTF">2020-12-26T18:08:00Z</dcterms:modified>
</cp:coreProperties>
</file>