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C42E" w14:textId="77777777" w:rsidR="00E67123" w:rsidRDefault="005C6FB7" w:rsidP="005C6FB7">
      <w:pPr>
        <w:pStyle w:val="Title"/>
      </w:pPr>
      <w:r>
        <w:t>Análise de dados</w:t>
      </w:r>
    </w:p>
    <w:p w14:paraId="4C92FC24" w14:textId="77777777" w:rsidR="005C6FB7" w:rsidRDefault="005C6FB7" w:rsidP="005C6FB7">
      <w:r>
        <w:t>No documento que nos foi providenciado para analisar (d01_lenses.xls), analisámos os dados para inferir qual o trabalho diário realizado nesta empresa. Com base na nossa análise, compreendemos que o trabalho se foca maioritariamente na área da oftalmologia, e conseguimos tirar as seguintes conclusões mais específicas:</w:t>
      </w:r>
    </w:p>
    <w:p w14:paraId="3DDFCC57" w14:textId="77777777" w:rsidR="005C6FB7" w:rsidRDefault="005C6FB7" w:rsidP="001F0B25">
      <w:pPr>
        <w:ind w:firstLine="720"/>
      </w:pPr>
      <w:r>
        <w:t>- Medição de indicadores de saúde ocular, de forma a posteriormente auxiliar uma escolha mais informada de um tratamento, no caso de ser necessário.</w:t>
      </w:r>
    </w:p>
    <w:p w14:paraId="4DAF0896" w14:textId="77777777" w:rsidR="005C6FB7" w:rsidRDefault="005C6FB7" w:rsidP="001F0B25">
      <w:pPr>
        <w:ind w:firstLine="720"/>
      </w:pPr>
      <w:r>
        <w:t>- Diagnóstico de doenças oculares, especificamente as três doenças oculares mais comuns no geral da população que são hipermetropia, miopia e astigmatismo.</w:t>
      </w:r>
    </w:p>
    <w:p w14:paraId="4EE93A4F" w14:textId="77777777" w:rsidR="00A85B91" w:rsidRDefault="005C6FB7" w:rsidP="001F0B25">
      <w:pPr>
        <w:ind w:firstLine="720"/>
      </w:pPr>
      <w:r>
        <w:t xml:space="preserve">- </w:t>
      </w:r>
      <w:r w:rsidR="00A85B91">
        <w:t>Elaboração de tratamento.</w:t>
      </w:r>
      <w:r>
        <w:t xml:space="preserve"> </w:t>
      </w:r>
      <w:r w:rsidR="00A85B91">
        <w:t>No caso de ser</w:t>
      </w:r>
      <w:r>
        <w:t xml:space="preserve"> </w:t>
      </w:r>
      <w:r w:rsidR="00A85B91">
        <w:t xml:space="preserve">diagnosticada uma doença ocular a </w:t>
      </w:r>
      <w:r>
        <w:t>um paciente</w:t>
      </w:r>
      <w:r w:rsidR="00A85B91">
        <w:t xml:space="preserve"> será proposto um tratamento. O tratamento atribuído serão lentes oculares para correção de visão. Estas são identificadas pela sua rigidez, das quais as mais populares são as rígidas e as moles.</w:t>
      </w:r>
    </w:p>
    <w:p w14:paraId="646EBE0A" w14:textId="77777777" w:rsidR="001F0B25" w:rsidRDefault="001F0B25" w:rsidP="001F0B25">
      <w:r>
        <w:t>Foram feitas algumas assunções em relação aos dados.</w:t>
      </w:r>
    </w:p>
    <w:p w14:paraId="077D8191" w14:textId="77777777" w:rsidR="001F0B25" w:rsidRDefault="001F0B25" w:rsidP="001F0B25">
      <w:pPr>
        <w:pStyle w:val="ListParagraph"/>
        <w:numPr>
          <w:ilvl w:val="0"/>
          <w:numId w:val="1"/>
        </w:numPr>
      </w:pPr>
      <w:bookmarkStart w:id="0" w:name="_GoBack"/>
      <w:r>
        <w:t xml:space="preserve">Sempre que há contacto entre um médico da </w:t>
      </w:r>
      <w:proofErr w:type="spellStart"/>
      <w:r>
        <w:t>Medknow</w:t>
      </w:r>
      <w:proofErr w:type="spellEnd"/>
      <w:r>
        <w:t xml:space="preserve"> e um paciente, é gerada uma avaliação do paciente com os dados atualizados das suas condições oftalmológicas.</w:t>
      </w:r>
    </w:p>
    <w:p w14:paraId="74E05BC8" w14:textId="77777777" w:rsidR="001F0B25" w:rsidRDefault="001F0B25" w:rsidP="001F0B25">
      <w:pPr>
        <w:pStyle w:val="ListParagraph"/>
        <w:numPr>
          <w:ilvl w:val="0"/>
          <w:numId w:val="1"/>
        </w:numPr>
      </w:pPr>
      <w:r>
        <w:t>Um paciente pode ser diagnosticado com mais que uma doença</w:t>
      </w:r>
      <w:r>
        <w:t>.</w:t>
      </w:r>
    </w:p>
    <w:p w14:paraId="5E2E0C21" w14:textId="1CF5C201" w:rsidR="001F0B25" w:rsidRDefault="001F0B25" w:rsidP="001F0B25">
      <w:pPr>
        <w:pStyle w:val="ListParagraph"/>
        <w:numPr>
          <w:ilvl w:val="0"/>
          <w:numId w:val="1"/>
        </w:numPr>
      </w:pPr>
      <w:r>
        <w:t xml:space="preserve">É assumido que as idades oculares correspondem </w:t>
      </w:r>
      <w:r>
        <w:t>a:</w:t>
      </w:r>
      <w:r>
        <w:t xml:space="preserve"> jovem</w:t>
      </w:r>
      <w:r>
        <w:t>, desde os</w:t>
      </w:r>
      <w:r>
        <w:t xml:space="preserve"> 0 </w:t>
      </w:r>
      <w:r>
        <w:t>aos</w:t>
      </w:r>
      <w:r>
        <w:t xml:space="preserve"> 34 anos</w:t>
      </w:r>
      <w:r>
        <w:t xml:space="preserve">; </w:t>
      </w:r>
      <w:r>
        <w:t>pré-</w:t>
      </w:r>
      <w:r w:rsidR="006A0A3D">
        <w:t>presbiópico</w:t>
      </w:r>
      <w:r>
        <w:t xml:space="preserve"> </w:t>
      </w:r>
      <w:r>
        <w:t>dos</w:t>
      </w:r>
      <w:r>
        <w:t xml:space="preserve"> 35 </w:t>
      </w:r>
      <w:r>
        <w:t>aos</w:t>
      </w:r>
      <w:r>
        <w:t xml:space="preserve"> 44 anos</w:t>
      </w:r>
      <w:r>
        <w:t>;</w:t>
      </w:r>
      <w:r>
        <w:t xml:space="preserve"> </w:t>
      </w:r>
      <w:r w:rsidR="006A0A3D">
        <w:t>presbiópico</w:t>
      </w:r>
      <w:r>
        <w:t xml:space="preserve"> </w:t>
      </w:r>
      <w:r>
        <w:t xml:space="preserve">com mais de </w:t>
      </w:r>
      <w:r>
        <w:t>45 anos</w:t>
      </w:r>
      <w:r>
        <w:t>.</w:t>
      </w:r>
    </w:p>
    <w:p w14:paraId="27942D39" w14:textId="77777777" w:rsidR="001F0B25" w:rsidRDefault="001F0B25" w:rsidP="001F0B25">
      <w:pPr>
        <w:pStyle w:val="ListParagraph"/>
        <w:numPr>
          <w:ilvl w:val="0"/>
          <w:numId w:val="1"/>
        </w:numPr>
      </w:pPr>
      <w:r>
        <w:t>Foi assumido que há mais de três tipos de doença, bem como mais de dois tipos de lente</w:t>
      </w:r>
    </w:p>
    <w:p w14:paraId="7A97B85F" w14:textId="77777777" w:rsidR="001F0B25" w:rsidRDefault="001F0B25" w:rsidP="001F0B25">
      <w:pPr>
        <w:pStyle w:val="ListParagraph"/>
        <w:numPr>
          <w:ilvl w:val="0"/>
          <w:numId w:val="1"/>
        </w:numPr>
      </w:pPr>
      <w:r>
        <w:t>Não</w:t>
      </w:r>
      <w:r>
        <w:t xml:space="preserve"> há</w:t>
      </w:r>
      <w:r>
        <w:t xml:space="preserve"> uma relação de acompanhamento entre médico e doente </w:t>
      </w:r>
      <w:r>
        <w:t>explicita</w:t>
      </w:r>
      <w:r>
        <w:t>.</w:t>
      </w:r>
    </w:p>
    <w:bookmarkEnd w:id="0"/>
    <w:p w14:paraId="29891E75" w14:textId="77777777" w:rsidR="001F0B25" w:rsidRDefault="001F0B25" w:rsidP="001F0B25"/>
    <w:p w14:paraId="0C62316B" w14:textId="77777777" w:rsidR="002E58C3" w:rsidRDefault="002E58C3" w:rsidP="002E58C3">
      <w:r>
        <w:t>Guilherme Arede, nº 41548</w:t>
      </w:r>
    </w:p>
    <w:p w14:paraId="2E0E9137" w14:textId="77777777" w:rsidR="002E58C3" w:rsidRDefault="002E58C3" w:rsidP="002E58C3">
      <w:r>
        <w:t>Nuno Gomes, nº 44021</w:t>
      </w:r>
    </w:p>
    <w:p w14:paraId="7FE5BF6C" w14:textId="77777777" w:rsidR="005C6FB7" w:rsidRPr="005C6FB7" w:rsidRDefault="005C6FB7" w:rsidP="005C6FB7"/>
    <w:sectPr w:rsidR="005C6FB7" w:rsidRPr="005C6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B15C0"/>
    <w:multiLevelType w:val="hybridMultilevel"/>
    <w:tmpl w:val="385E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B7"/>
    <w:rsid w:val="001F0B25"/>
    <w:rsid w:val="002E58C3"/>
    <w:rsid w:val="005C6FB7"/>
    <w:rsid w:val="006A0A3D"/>
    <w:rsid w:val="00A85B91"/>
    <w:rsid w:val="00E6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B47B"/>
  <w15:chartTrackingRefBased/>
  <w15:docId w15:val="{BEBACE60-A83C-46F1-92CB-7B65E120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25"/>
    <w:pPr>
      <w:spacing w:after="0"/>
    </w:pPr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FB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FB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1F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4</cp:revision>
  <cp:lastPrinted>2020-11-04T22:46:00Z</cp:lastPrinted>
  <dcterms:created xsi:type="dcterms:W3CDTF">2020-11-04T15:38:00Z</dcterms:created>
  <dcterms:modified xsi:type="dcterms:W3CDTF">2020-11-04T22:48:00Z</dcterms:modified>
</cp:coreProperties>
</file>