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Paint</w:t>
      </w:r>
      <w:r>
        <w:t xml:space="preserve"> </w:t>
      </w:r>
      <w:r>
        <w:t xml:space="preserve">it</w:t>
      </w:r>
      <w:r>
        <w:t xml:space="preserve"> </w:t>
      </w:r>
      <w:r>
        <w:t xml:space="preserve">—</w:t>
      </w:r>
      <w:r>
        <w:t xml:space="preserve"> </w:t>
      </w:r>
      <w:r>
        <w:t xml:space="preserve">seguimento</w:t>
      </w:r>
      <w:r>
        <w:t xml:space="preserve"> </w:t>
      </w:r>
      <w:r>
        <w:t xml:space="preserve">do</w:t>
      </w:r>
      <w:r>
        <w:t xml:space="preserve"> </w:t>
      </w:r>
      <w:r>
        <w:t xml:space="preserve">parecer</w:t>
      </w:r>
      <w:r>
        <w:t xml:space="preserve"> </w:t>
      </w:r>
      <w:r>
        <w:t xml:space="preserve">de</w:t>
      </w:r>
      <w:r>
        <w:t xml:space="preserve"> </w:t>
      </w:r>
      <w:r>
        <w:t xml:space="preserve">19/10/2026</w:t>
      </w:r>
    </w:p>
    <w:p>
      <w:pPr>
        <w:pStyle w:val="Subtitle"/>
      </w:pPr>
      <w:r>
        <w:t xml:space="preserve">Novo</w:t>
      </w:r>
      <w:r>
        <w:t xml:space="preserve"> </w:t>
      </w:r>
      <w:r>
        <w:t xml:space="preserve">percurso</w:t>
      </w:r>
      <w:r>
        <w:t xml:space="preserve"> </w:t>
      </w:r>
      <w:r>
        <w:t xml:space="preserve">de</w:t>
      </w:r>
      <w:r>
        <w:t xml:space="preserve"> </w:t>
      </w:r>
      <w:r>
        <w:t xml:space="preserve">contratação</w:t>
      </w:r>
      <w:r>
        <w:t xml:space="preserve"> </w:t>
      </w:r>
      <w:r>
        <w:t xml:space="preserve">e</w:t>
      </w:r>
      <w:r>
        <w:t xml:space="preserve"> </w:t>
      </w:r>
      <w:r>
        <w:t xml:space="preserve">pedidos</w:t>
      </w:r>
      <w:r>
        <w:t xml:space="preserve"> </w:t>
      </w:r>
      <w:r>
        <w:t xml:space="preserve">de</w:t>
      </w:r>
      <w:r>
        <w:t xml:space="preserve"> </w:t>
      </w:r>
      <w:r>
        <w:t xml:space="preserve">redação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novo-percurso-para-validação"/>
    <w:p>
      <w:pPr>
        <w:pStyle w:val="Heading1"/>
      </w:pPr>
      <w:r>
        <w:t xml:space="preserve">1. Novo percurso, para validação</w:t>
      </w:r>
    </w:p>
    <w:p>
      <w:pPr>
        <w:pStyle w:val="FirstParagraph"/>
      </w:pPr>
      <w:r>
        <w:t xml:space="preserve">Seguindo a recomendação de que a identificação seja disponibilizada antes da assinatura vinculativa, o</w:t>
      </w:r>
      <w:r>
        <w:t xml:space="preserve"> </w:t>
      </w:r>
      <w:r>
        <w:t xml:space="preserve">promotor decidiu este percurso: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Escolha preliminar</w:t>
      </w:r>
      <w:r>
        <w:t xml:space="preserve"> </w:t>
      </w:r>
      <w:r>
        <w:t xml:space="preserve">do cliente, ainda anónima.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Caução do cliente</w:t>
      </w:r>
      <w:r>
        <w:t xml:space="preserve"> </w:t>
      </w:r>
      <w:r>
        <w:t xml:space="preserve">de 3% do valor sem IVA (mínimo de 150 €), depositada no parceiro de pagamentos, como</w:t>
      </w:r>
      <w:r>
        <w:t xml:space="preserve"> </w:t>
      </w:r>
      <w:r>
        <w:rPr>
          <w:bCs/>
          <w:b/>
        </w:rPr>
        <w:t xml:space="preserve">garantia de interesse</w:t>
      </w:r>
      <w:r>
        <w:t xml:space="preserve"> </w:t>
      </w:r>
      <w:r>
        <w:t xml:space="preserve">em concluir a contratação com o pintor escolhido.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Comissão do pintor</w:t>
      </w:r>
      <w:r>
        <w:t xml:space="preserve"> </w:t>
      </w:r>
      <w:r>
        <w:t xml:space="preserve">de 3% + IVA (mínimo de 150 €), paga em 8 dias corridos: preço do serviço de</w:t>
      </w:r>
      <w:r>
        <w:t xml:space="preserve"> </w:t>
      </w:r>
      <w:r>
        <w:t xml:space="preserve">apresentação.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Apresentação:</w:t>
      </w:r>
      <w:r>
        <w:t xml:space="preserve"> </w:t>
      </w:r>
      <w:r>
        <w:t xml:space="preserve">com a comissão paga, as partes ficam a conhecer-se.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Adiantamento</w:t>
      </w:r>
      <w:r>
        <w:t xml:space="preserve"> </w:t>
      </w:r>
      <w:r>
        <w:t xml:space="preserve">do cliente, se a proposta o previr (até 30%).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Assinatura</w:t>
      </w:r>
      <w:r>
        <w:t xml:space="preserve"> </w:t>
      </w:r>
      <w:r>
        <w:t xml:space="preserve">do contrato completo (com identidades), com Chave Móvel Digital: cliente e depois pintor,</w:t>
      </w:r>
      <w:r>
        <w:t xml:space="preserve"> </w:t>
      </w:r>
      <w:r>
        <w:t xml:space="preserve">8 dias para cada um.</w:t>
      </w:r>
    </w:p>
    <w:p>
      <w:pPr>
        <w:numPr>
          <w:ilvl w:val="0"/>
          <w:numId w:val="1001"/>
        </w:numPr>
        <w:pStyle w:val="Compact"/>
      </w:pPr>
      <w:r>
        <w:t xml:space="preserve">Com as duas assinaturas, a caução é devolvida ao cliente.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Caução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 do pintor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Adiantamento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Ambos assinam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 com 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 pintor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desiste antes da 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Devolvida, se já paga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desiste ou não assina no prazo, depois da 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 com 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Devolvida ao pintor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Pintor não paga em 8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 para outra proposta, ou é 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Pintor não assina no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 para outra proposta, ou é 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 com 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Devolvido</w:t>
            </w:r>
          </w:p>
        </w:tc>
      </w:tr>
    </w:tbl>
    <w:p>
      <w:pPr>
        <w:pStyle w:val="BodyText"/>
      </w:pPr>
      <w:r>
        <w:rPr>
          <w:bCs/>
          <w:b/>
        </w:rPr>
        <w:t xml:space="preserve">Razão da caução:</w:t>
      </w:r>
      <w:r>
        <w:t xml:space="preserve"> </w:t>
      </w:r>
      <w:r>
        <w:t xml:space="preserve">depois de conhecer o pintor, o cliente pode contratar com ele por fora. Nesse caso a</w:t>
      </w:r>
      <w:r>
        <w:t xml:space="preserve"> </w:t>
      </w:r>
      <w:r>
        <w:t xml:space="preserve">comissão tem de ser devolvida ao pintor, que não teve culpa; a caução cobre o serviço de apresentação prestado.</w:t>
      </w:r>
    </w:p>
    <w:p>
      <w:pPr>
        <w:pStyle w:val="BodyText"/>
      </w:pPr>
      <w:r>
        <w:rPr>
          <w:bCs/>
          <w:b/>
        </w:rPr>
        <w:t xml:space="preserve">Perguntas:</w:t>
      </w:r>
    </w:p>
    <w:p>
      <w:pPr>
        <w:numPr>
          <w:ilvl w:val="0"/>
          <w:numId w:val="1002"/>
        </w:numPr>
        <w:pStyle w:val="Compact"/>
      </w:pPr>
      <w:r>
        <w:t xml:space="preserve">Este percurso resolve as objeções do parecer (B1, B3, D2, F2)?</w:t>
      </w:r>
    </w:p>
    <w:p>
      <w:pPr>
        <w:numPr>
          <w:ilvl w:val="0"/>
          <w:numId w:val="1002"/>
        </w:numPr>
        <w:pStyle w:val="Compact"/>
      </w:pPr>
      <w:r>
        <w:t xml:space="preserve">A perda da caução quando o cliente não assina depois da apresentação é admissível como cláusula penal pela</w:t>
      </w:r>
      <w:r>
        <w:t xml:space="preserve"> </w:t>
      </w:r>
      <w:r>
        <w:t xml:space="preserve">não conclusão do contrato que se propôs celebrar? Que justificação e que limites deve ter?</w:t>
      </w:r>
    </w:p>
    <w:p>
      <w:pPr>
        <w:numPr>
          <w:ilvl w:val="0"/>
          <w:numId w:val="1002"/>
        </w:numPr>
        <w:pStyle w:val="Compact"/>
      </w:pPr>
      <w:r>
        <w:t xml:space="preserve">O mínimo de 150 € na caução é defensável, ou deve ser só 3% (em obras pequenas, 150 € pode ser 30%)?</w:t>
      </w:r>
    </w:p>
    <w:p>
      <w:pPr>
        <w:numPr>
          <w:ilvl w:val="0"/>
          <w:numId w:val="1002"/>
        </w:numPr>
        <w:pStyle w:val="Compact"/>
      </w:pPr>
      <w:r>
        <w:t xml:space="preserve">Como se articula com o direito de livre resolução do consumidor, se se aplicar a este contrato com a</w:t>
      </w:r>
      <w:r>
        <w:t xml:space="preserve"> </w:t>
      </w:r>
      <w:r>
        <w:t xml:space="preserve">plataforma?</w:t>
      </w:r>
    </w:p>
    <w:bookmarkEnd w:id="20"/>
    <w:bookmarkStart w:id="21" w:name="textos-a-redigir"/>
    <w:p>
      <w:pPr>
        <w:pStyle w:val="Heading1"/>
      </w:pPr>
      <w:r>
        <w:t xml:space="preserve">2. Textos a redigir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Condições gerais do cliente</w:t>
      </w:r>
      <w:r>
        <w:t xml:space="preserve"> </w:t>
      </w:r>
      <w:r>
        <w:t xml:space="preserve">(aceites antes de depositar a caução): o serviço, a caução e quando se perde,</w:t>
      </w:r>
      <w:r>
        <w:t xml:space="preserve"> </w:t>
      </w:r>
      <w:r>
        <w:t xml:space="preserve">o prazo para assinar depois da apresentação, a não evasão.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Condições gerais do pintor</w:t>
      </w:r>
      <w:r>
        <w:t xml:space="preserve">: a comissão como preço da apresentação, quando se vence e quando é</w:t>
      </w:r>
      <w:r>
        <w:t xml:space="preserve"> </w:t>
      </w:r>
      <w:r>
        <w:t xml:space="preserve">devolvida, o prazo para assinar, a não evasão (mesma obra, mesmo cliente, 12 meses, sem relações anteriores</w:t>
      </w:r>
      <w:r>
        <w:t xml:space="preserve"> </w:t>
      </w:r>
      <w:r>
        <w:t xml:space="preserve">comprovadas).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Condições do fornecedor</w:t>
      </w:r>
      <w:r>
        <w:t xml:space="preserve">: descontos, entregas, confirmação de venda e entrega (não de aplicação).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Minuta do contrato de empreitada</w:t>
      </w:r>
      <w:r>
        <w:t xml:space="preserve">, com as cláusulas já aplicadas na app: medição e tolerância de área</w:t>
      </w:r>
      <w:r>
        <w:t xml:space="preserve"> </w:t>
      </w:r>
      <w:r>
        <w:t xml:space="preserve">(10%), licenças (o pintor obtém as licenças dos trabalhos, incluindo via pública; o cliente o licenciamento</w:t>
      </w:r>
      <w:r>
        <w:t xml:space="preserve"> </w:t>
      </w:r>
      <w:r>
        <w:t xml:space="preserve">especial), garantia sem encurtar os prazos legais, materiais comprometidos.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Modelo de ponto da ordem de trabalhos</w:t>
      </w:r>
      <w:r>
        <w:t xml:space="preserve"> </w:t>
      </w:r>
      <w:r>
        <w:t xml:space="preserve">para as assembleias de condóminos: uso da plataforma, valor</w:t>
      </w:r>
      <w:r>
        <w:t xml:space="preserve"> </w:t>
      </w:r>
      <w:r>
        <w:t xml:space="preserve">máximo da caução e possibilidade de a perder.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Política de conservação de documentos</w:t>
      </w:r>
      <w:r>
        <w:t xml:space="preserve"> </w:t>
      </w:r>
      <w:r>
        <w:t xml:space="preserve">(proposta: contratos e provas 10 anos; documentos de verificação</w:t>
      </w:r>
      <w:r>
        <w:t xml:space="preserve"> </w:t>
      </w:r>
      <w:r>
        <w:t xml:space="preserve">até 2 anos após a conta ficar inativa; fiscais pelo prazo legal).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Paint it — seguimento do parecer de 19/10/2026</dc:title>
  <dc:creator/>
  <cp:keywords/>
  <dcterms:created xsi:type="dcterms:W3CDTF">2026-10-19T02:29:07Z</dcterms:created>
  <dcterms:modified xsi:type="dcterms:W3CDTF">2026-10-19T02:29:07Z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outubro de 2026</vt:lpwstr>
  </property>
  <property fmtid="{D5CDD505-2E9C-101B-9397-08002B2CF9AE}" pid="3" name="subtitle">
    <vt:lpwstr>Novo percurso de contratação e pedidos de redação</vt:lpwstr>
  </property>
</Properties>
</file>