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Quem</w:t>
      </w:r>
      <w:r>
        <w:t xml:space="preserve"> </w:t>
      </w:r>
      <w:r>
        <w:t xml:space="preserve">Pinta</w:t>
      </w:r>
      <w:r>
        <w:t xml:space="preserve"> </w:t>
      </w:r>
      <w:r>
        <w:t xml:space="preserve">—</w:t>
      </w:r>
      <w:r>
        <w:t xml:space="preserve"> </w:t>
      </w:r>
      <w:r>
        <w:t xml:space="preserve">segunda</w:t>
      </w:r>
      <w:r>
        <w:t xml:space="preserve"> </w:t>
      </w:r>
      <w:r>
        <w:t xml:space="preserve">ronda</w:t>
      </w:r>
      <w:r>
        <w:t xml:space="preserve"> </w:t>
      </w:r>
      <w:r>
        <w:t xml:space="preserve">de</w:t>
      </w:r>
      <w:r>
        <w:t xml:space="preserve"> </w:t>
      </w:r>
      <w:r>
        <w:t xml:space="preserve">questões</w:t>
      </w:r>
      <w:r>
        <w:t xml:space="preserve"> </w:t>
      </w:r>
      <w:r>
        <w:t xml:space="preserve">jurídicas</w:t>
      </w:r>
    </w:p>
    <w:p>
      <w:pPr>
        <w:pStyle w:val="Subtitle"/>
      </w:pPr>
      <w:r>
        <w:t xml:space="preserve">O</w:t>
      </w:r>
      <w:r>
        <w:t xml:space="preserve"> </w:t>
      </w:r>
      <w:r>
        <w:t xml:space="preserve">que</w:t>
      </w:r>
      <w:r>
        <w:t xml:space="preserve"> </w:t>
      </w:r>
      <w:r>
        <w:t xml:space="preserve">mudou</w:t>
      </w:r>
      <w:r>
        <w:t xml:space="preserve"> </w:t>
      </w:r>
      <w:r>
        <w:t xml:space="preserve">desde</w:t>
      </w:r>
      <w:r>
        <w:t xml:space="preserve"> </w:t>
      </w:r>
      <w:r>
        <w:t xml:space="preserve">o</w:t>
      </w:r>
      <w:r>
        <w:t xml:space="preserve"> </w:t>
      </w:r>
      <w:r>
        <w:t xml:space="preserve">parecer</w:t>
      </w:r>
      <w:r>
        <w:t xml:space="preserve"> </w:t>
      </w:r>
      <w:r>
        <w:t xml:space="preserve">de</w:t>
      </w:r>
      <w:r>
        <w:t xml:space="preserve"> </w:t>
      </w:r>
      <w:r>
        <w:t xml:space="preserve">19/10/2026,</w:t>
      </w:r>
      <w:r>
        <w:t xml:space="preserve"> </w:t>
      </w:r>
      <w:r>
        <w:t xml:space="preserve">para</w:t>
      </w:r>
      <w:r>
        <w:t xml:space="preserve"> </w:t>
      </w:r>
      <w:r>
        <w:t xml:space="preserve">validação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contexto"/>
    <w:p>
      <w:pPr>
        <w:pStyle w:val="Heading1"/>
      </w:pPr>
      <w:r>
        <w:t xml:space="preserve">0. Contexto</w:t>
      </w:r>
    </w:p>
    <w:p>
      <w:pPr>
        <w:pStyle w:val="FirstParagraph"/>
      </w:pPr>
      <w:r>
        <w:t xml:space="preserve">A plataforma chama-se agora</w:t>
      </w:r>
      <w:r>
        <w:t xml:space="preserve"> </w:t>
      </w:r>
      <w:r>
        <w:rPr>
          <w:bCs/>
          <w:b/>
        </w:rPr>
        <w:t xml:space="preserve">Quem Pinta</w:t>
      </w:r>
      <w:r>
        <w:t xml:space="preserve"> </w:t>
      </w:r>
      <w:r>
        <w:t xml:space="preserve">(quempinta.pt). Os documentos anteriores (</w:t>
      </w:r>
      <w:r>
        <w:rPr>
          <w:rStyle w:val="VerbatimChar"/>
        </w:rPr>
        <w:t xml:space="preserve">Pedido_minuta_contrato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Seguimento_2026-10-19</w:t>
      </w:r>
      <w:r>
        <w:t xml:space="preserve">) mantêm-se válidos, salvo no que este documento disser. Entretanto foi aplicado o percurso</w:t>
      </w:r>
      <w:r>
        <w:t xml:space="preserve"> </w:t>
      </w:r>
      <w:r>
        <w:t xml:space="preserve">recomendado no parecer (escolha preliminar, caução, apresentação antes da assinatura) e acrescentaram-se as funções</w:t>
      </w:r>
      <w:r>
        <w:t xml:space="preserve"> </w:t>
      </w:r>
      <w:r>
        <w:t xml:space="preserve">descritas abaixo. Cada ponto traz</w:t>
      </w:r>
      <w:r>
        <w:t xml:space="preserve"> </w:t>
      </w:r>
      <w:r>
        <w:rPr>
          <w:bCs/>
          <w:b/>
        </w:rPr>
        <w:t xml:space="preserve">o que fizemos</w:t>
      </w:r>
      <w:r>
        <w:t xml:space="preserve">,</w:t>
      </w:r>
      <w:r>
        <w:t xml:space="preserve"> </w:t>
      </w:r>
      <w:r>
        <w:rPr>
          <w:bCs/>
          <w:b/>
        </w:rPr>
        <w:t xml:space="preserve">o risco que vemos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 pergunta</w:t>
      </w:r>
      <w:r>
        <w:t xml:space="preserve">. Pedimos, por ordem de</w:t>
      </w:r>
      <w:r>
        <w:t xml:space="preserve"> </w:t>
      </w:r>
      <w:r>
        <w:t xml:space="preserve">importância, as secções 1 a 4; as restantes podem seguir depois.</w:t>
      </w:r>
    </w:p>
    <w:bookmarkEnd w:id="20"/>
    <w:bookmarkStart w:id="21" w:name="X21a6d7937714bebfab903f774a5e41ade7bad32"/>
    <w:p>
      <w:pPr>
        <w:pStyle w:val="Heading1"/>
      </w:pPr>
      <w:r>
        <w:t xml:space="preserve">1. Produto «ou equivalente» (orçamento do pintor)</w:t>
      </w:r>
    </w:p>
    <w:p>
      <w:pPr>
        <w:pStyle w:val="FirstParagraph"/>
      </w:pPr>
      <w:r>
        <w:rPr>
          <w:bCs/>
          <w:b/>
        </w:rPr>
        <w:t xml:space="preserve">O que fizemos.</w:t>
      </w:r>
      <w:r>
        <w:t xml:space="preserve"> </w:t>
      </w:r>
      <w:r>
        <w:t xml:space="preserve">Em cada produto do orçamento, o pintor pode assinalar «ou equivalente». Regra única, igual na ajuda,</w:t>
      </w:r>
      <w:r>
        <w:t xml:space="preserve"> </w:t>
      </w:r>
      <w:r>
        <w:t xml:space="preserve">na proposta e no contrato:</w:t>
      </w:r>
    </w:p>
    <w:p>
      <w:pPr>
        <w:pStyle w:val="BlockText"/>
      </w:pPr>
      <w:r>
        <w:t xml:space="preserve">Produto «ou equivalente»: o pintor pode aplicar outro produto, desde que tenha características técnicas iguais ou</w:t>
      </w:r>
      <w:r>
        <w:t xml:space="preserve"> </w:t>
      </w:r>
      <w:r>
        <w:t xml:space="preserve">superiores (tipo, uso, acabamento, rendimento e classe técnica) e que o preço de referência de mercado não difira mais</w:t>
      </w:r>
      <w:r>
        <w:t xml:space="preserve"> </w:t>
      </w:r>
      <w:r>
        <w:t xml:space="preserve">de 10% do produto indicado.</w:t>
      </w:r>
    </w:p>
    <w:p>
      <w:pPr>
        <w:pStyle w:val="FirstParagraph"/>
      </w:pPr>
      <w:r>
        <w:t xml:space="preserve">Na proposta aparece um aviso destacado, que acrescenta:</w:t>
      </w:r>
      <w:r>
        <w:t xml:space="preserve"> </w:t>
      </w:r>
      <w:r>
        <w:rPr>
          <w:iCs/>
          <w:i/>
        </w:rPr>
        <w:t xml:space="preserve">qualquer diferença visível para o cliente (por exemplo, a cor)</w:t>
      </w:r>
      <w:r>
        <w:rPr>
          <w:iCs/>
          <w:i/>
        </w:rPr>
        <w:t xml:space="preserve"> </w:t>
      </w:r>
      <w:r>
        <w:rPr>
          <w:iCs/>
          <w:i/>
        </w:rPr>
        <w:t xml:space="preserve">tem de ser indicada pelo pintor e aceite por escrito antes da aplicação</w:t>
      </w:r>
      <w:r>
        <w:t xml:space="preserve">. No contrato entra a cláusula 2-B com a mesma</w:t>
      </w:r>
      <w:r>
        <w:t xml:space="preserve"> </w:t>
      </w:r>
      <w:r>
        <w:t xml:space="preserve">regra e a exigência de aceitação escrita para diferenças visíveis. A plataforma</w:t>
      </w:r>
      <w:r>
        <w:t xml:space="preserve"> </w:t>
      </w:r>
      <w:r>
        <w:rPr>
          <w:bCs/>
          <w:b/>
        </w:rPr>
        <w:t xml:space="preserve">não arbitra</w:t>
      </w:r>
      <w:r>
        <w:t xml:space="preserve"> </w:t>
      </w:r>
      <w:r>
        <w:t xml:space="preserve">desacordos sobre</w:t>
      </w:r>
      <w:r>
        <w:t xml:space="preserve"> </w:t>
      </w:r>
      <w:r>
        <w:t xml:space="preserve">equivalência.</w:t>
      </w:r>
    </w:p>
    <w:p>
      <w:pPr>
        <w:pStyle w:val="BodyText"/>
      </w:pPr>
      <w:r>
        <w:rPr>
          <w:bCs/>
          <w:b/>
        </w:rPr>
        <w:t xml:space="preserve">Risco.</w:t>
      </w:r>
      <w:r>
        <w:t xml:space="preserve"> </w:t>
      </w:r>
      <w:r>
        <w:t xml:space="preserve">Conceito indeterminado; o preço de referência não é verificável com rigor; o cliente consumidor pode</w:t>
      </w:r>
      <w:r>
        <w:t xml:space="preserve"> </w:t>
      </w:r>
      <w:r>
        <w:t xml:space="preserve">alegar que não compreendeu.</w:t>
      </w:r>
    </w:p>
    <w:p>
      <w:pPr>
        <w:pStyle w:val="BodyText"/>
      </w:pPr>
      <w:r>
        <w:rPr>
          <w:bCs/>
          <w:b/>
        </w:rPr>
        <w:t xml:space="preserve">Perguntas.</w:t>
      </w:r>
    </w:p>
    <w:p>
      <w:pPr>
        <w:numPr>
          <w:ilvl w:val="0"/>
          <w:numId w:val="1001"/>
        </w:numPr>
        <w:pStyle w:val="Compact"/>
      </w:pPr>
      <w:r>
        <w:t xml:space="preserve">A formulação (características técnicas + limite de 10% no preço de referência) é suficiente e proporcionada?</w:t>
      </w:r>
    </w:p>
    <w:p>
      <w:pPr>
        <w:numPr>
          <w:ilvl w:val="0"/>
          <w:numId w:val="1001"/>
        </w:numPr>
        <w:pStyle w:val="Compact"/>
      </w:pPr>
      <w:r>
        <w:t xml:space="preserve">O aviso na proposta e a cláusula 2-B cumprem o dever de informação ao consumidor? Que redação sugere?</w:t>
      </w:r>
    </w:p>
    <w:p>
      <w:pPr>
        <w:numPr>
          <w:ilvl w:val="0"/>
          <w:numId w:val="1001"/>
        </w:numPr>
        <w:pStyle w:val="Compact"/>
      </w:pPr>
      <w:r>
        <w:t xml:space="preserve">Quem decide um desacordo sobre a equivalência, e como o contrato o deve prever, sem a plataforma ser parte?</w:t>
      </w:r>
    </w:p>
    <w:p>
      <w:pPr>
        <w:numPr>
          <w:ilvl w:val="0"/>
          <w:numId w:val="1001"/>
        </w:numPr>
        <w:pStyle w:val="Compact"/>
      </w:pPr>
      <w:r>
        <w:t xml:space="preserve">A cor diferente deve exigir sempre aceitação escrita antes da aplicação? Em condomínio, de quem?</w:t>
      </w:r>
    </w:p>
    <w:p>
      <w:pPr>
        <w:pStyle w:val="FirstParagraph"/>
      </w:pPr>
      <w:r>
        <w:rPr>
          <w:iCs/>
          <w:i/>
        </w:rPr>
        <w:t xml:space="preserve">Estado:</w:t>
      </w:r>
      <w:r>
        <w:t xml:space="preserve"> </w:t>
      </w:r>
      <w:r>
        <w:t xml:space="preserve">a função está desligada em produção até ao parecer.</w:t>
      </w:r>
    </w:p>
    <w:bookmarkEnd w:id="21"/>
    <w:bookmarkStart w:id="22" w:name="Xf61e3cc0d5503d2facfef69d274ece74ce71a61"/>
    <w:p>
      <w:pPr>
        <w:pStyle w:val="Heading1"/>
      </w:pPr>
      <w:r>
        <w:t xml:space="preserve">2. Avisos e bloqueio de contas por partilha de contactos</w:t>
      </w:r>
    </w:p>
    <w:p>
      <w:pPr>
        <w:pStyle w:val="FirstParagraph"/>
      </w:pPr>
      <w:r>
        <w:rPr>
          <w:bCs/>
          <w:b/>
        </w:rPr>
        <w:t xml:space="preserve">O que fizemos.</w:t>
      </w:r>
      <w:r>
        <w:t xml:space="preserve"> </w:t>
      </w:r>
      <w:r>
        <w:t xml:space="preserve">É proibido identificar as partes (nomes, moradas) ou partilhar contactos antes da apresentação.</w:t>
      </w:r>
      <w:r>
        <w:t xml:space="preserve"> </w:t>
      </w:r>
      <w:r>
        <w:t xml:space="preserve">Um filtro automático recusa o texto e conta um aviso: 1.ª tentativa, aviso; 2.ª, último aviso; 3.ª, conta bloqueada</w:t>
      </w:r>
      <w:r>
        <w:t xml:space="preserve"> </w:t>
      </w:r>
      <w:r>
        <w:t xml:space="preserve">para sempre (email banido e NIF das entidades da conta impedido de novo registo). No 2.º aviso o utilizador pode pedir</w:t>
      </w:r>
      <w:r>
        <w:t xml:space="preserve"> </w:t>
      </w:r>
      <w:r>
        <w:t xml:space="preserve">revisão, uma vez, decidida pela equipa com decisão escrita e comunicada por email. A equipa pode desbloquear.</w:t>
      </w:r>
      <w:r>
        <w:t xml:space="preserve"> </w:t>
      </w:r>
      <w:r>
        <w:t xml:space="preserve">Guardamos o texto de cada tentativa para análise.</w:t>
      </w:r>
    </w:p>
    <w:p>
      <w:pPr>
        <w:pStyle w:val="BodyText"/>
      </w:pPr>
      <w:r>
        <w:rPr>
          <w:bCs/>
          <w:b/>
        </w:rPr>
        <w:t xml:space="preserve">Risco.</w:t>
      </w:r>
      <w:r>
        <w:t xml:space="preserve"> </w:t>
      </w:r>
      <w:r>
        <w:t xml:space="preserve">Decisão com efeitos graves tomada com apoio automático; bloqueio permanente; tratamento de dados</w:t>
      </w:r>
      <w:r>
        <w:t xml:space="preserve"> </w:t>
      </w:r>
      <w:r>
        <w:t xml:space="preserve">(registo do texto); termos e condições ainda por redigir.</w:t>
      </w:r>
    </w:p>
    <w:p>
      <w:pPr>
        <w:pStyle w:val="BodyText"/>
      </w:pPr>
      <w:r>
        <w:rPr>
          <w:bCs/>
          <w:b/>
        </w:rPr>
        <w:t xml:space="preserve">Perguntas.</w:t>
      </w:r>
    </w:p>
    <w:p>
      <w:pPr>
        <w:numPr>
          <w:ilvl w:val="0"/>
          <w:numId w:val="1002"/>
        </w:numPr>
        <w:pStyle w:val="Compact"/>
      </w:pPr>
      <w:r>
        <w:t xml:space="preserve">O mecanismo (dois avisos, bloqueio, uma revisão) é admissível nas condições gerais de utilização? Exige</w:t>
      </w:r>
      <w:r>
        <w:t xml:space="preserve"> </w:t>
      </w:r>
      <w:r>
        <w:t xml:space="preserve">comunicação prévia específica (cláusulas contratuais gerais) e aceitação expressa?</w:t>
      </w:r>
    </w:p>
    <w:p>
      <w:pPr>
        <w:numPr>
          <w:ilvl w:val="0"/>
          <w:numId w:val="1002"/>
        </w:numPr>
        <w:pStyle w:val="Compact"/>
      </w:pPr>
      <w:r>
        <w:t xml:space="preserve">Há problema, à luz do art. 22.º do RGPD, em o bloqueio decorrer de deteção automática, dado haver revisão humana</w:t>
      </w:r>
      <w:r>
        <w:t xml:space="preserve"> </w:t>
      </w:r>
      <w:r>
        <w:t xml:space="preserve">no 2.º aviso e desbloqueio manual? Convém garantir revisão humana também no 3.º?</w:t>
      </w:r>
    </w:p>
    <w:p>
      <w:pPr>
        <w:numPr>
          <w:ilvl w:val="0"/>
          <w:numId w:val="1002"/>
        </w:numPr>
        <w:pStyle w:val="Compact"/>
      </w:pPr>
      <w:r>
        <w:t xml:space="preserve">Que fundamento de licitude e que prazo de conservação para o texto das tentativas?</w:t>
      </w:r>
    </w:p>
    <w:p>
      <w:pPr>
        <w:numPr>
          <w:ilvl w:val="0"/>
          <w:numId w:val="1002"/>
        </w:numPr>
        <w:pStyle w:val="Compact"/>
      </w:pPr>
      <w:r>
        <w:t xml:space="preserve">É lícito impedir o novo registo do NIF de uma entidade bloqueada? Em que condições?</w:t>
      </w:r>
    </w:p>
    <w:p>
      <w:pPr>
        <w:numPr>
          <w:ilvl w:val="0"/>
          <w:numId w:val="1002"/>
        </w:numPr>
        <w:pStyle w:val="Compact"/>
      </w:pPr>
      <w:r>
        <w:t xml:space="preserve">Cláusula de não evasão (F4 do parecer anterior): proporcional, com prazo (12 meses?) e consequência definida.</w:t>
      </w:r>
      <w:r>
        <w:t xml:space="preserve"> </w:t>
      </w:r>
      <w:r>
        <w:t xml:space="preserve">Pedimos a redação.</w:t>
      </w:r>
    </w:p>
    <w:bookmarkEnd w:id="22"/>
    <w:bookmarkStart w:id="23" w:name="X6cff598ece95c5306779ecf1ad26b7fa96020e5"/>
    <w:p>
      <w:pPr>
        <w:pStyle w:val="Heading1"/>
      </w:pPr>
      <w:r>
        <w:t xml:space="preserve">3. Remuneração da plataforma: o cliente não a vê</w:t>
      </w:r>
    </w:p>
    <w:p>
      <w:pPr>
        <w:pStyle w:val="FirstParagraph"/>
      </w:pPr>
      <w:r>
        <w:rPr>
          <w:bCs/>
          <w:b/>
        </w:rPr>
        <w:t xml:space="preserve">O que fizemos.</w:t>
      </w:r>
      <w:r>
        <w:t xml:space="preserve"> </w:t>
      </w:r>
      <w:r>
        <w:t xml:space="preserve">O cliente não vê, em nenhum ecrã, email ou resumo, o que a plataforma cobra ao pintor; fala-se em</w:t>
      </w:r>
      <w:r>
        <w:t xml:space="preserve"> </w:t>
      </w:r>
      <w:r>
        <w:t xml:space="preserve">«confirmação do pintor». A página pública Transparência diz apenas, sem números, que a plataforma cobra uma pequena</w:t>
      </w:r>
      <w:r>
        <w:t xml:space="preserve"> </w:t>
      </w:r>
      <w:r>
        <w:t xml:space="preserve">comissão pelo sucesso ao prestador de serviço. Os valores aparecem ao pintor e à plataforma.</w:t>
      </w:r>
    </w:p>
    <w:p>
      <w:pPr>
        <w:pStyle w:val="BodyText"/>
      </w:pPr>
      <w:r>
        <w:rPr>
          <w:bCs/>
          <w:b/>
        </w:rPr>
        <w:t xml:space="preserve">Risco.</w:t>
      </w:r>
      <w:r>
        <w:t xml:space="preserve"> </w:t>
      </w:r>
      <w:r>
        <w:t xml:space="preserve">O parecer pediu que a plataforma explique como ganha dinheiro (F2/G2). Pode a omissão do valor ao</w:t>
      </w:r>
      <w:r>
        <w:t xml:space="preserve"> </w:t>
      </w:r>
      <w:r>
        <w:t xml:space="preserve">consumidor ser enganosa (práticas comerciais desleais) ou contrariar o art. 30.º do DSA?</w:t>
      </w:r>
    </w:p>
    <w:p>
      <w:pPr>
        <w:pStyle w:val="BodyText"/>
      </w:pPr>
      <w:r>
        <w:rPr>
          <w:bCs/>
          <w:b/>
        </w:rPr>
        <w:t xml:space="preserve">Perguntas.</w:t>
      </w:r>
    </w:p>
    <w:p>
      <w:pPr>
        <w:numPr>
          <w:ilvl w:val="0"/>
          <w:numId w:val="1003"/>
        </w:numPr>
        <w:pStyle w:val="Compact"/>
      </w:pPr>
      <w:r>
        <w:t xml:space="preserve">A redação da Transparência cumpre a exigência de explicar como a plataforma ganha dinheiro?</w:t>
      </w:r>
    </w:p>
    <w:p>
      <w:pPr>
        <w:numPr>
          <w:ilvl w:val="0"/>
          <w:numId w:val="1003"/>
        </w:numPr>
        <w:pStyle w:val="Compact"/>
      </w:pPr>
      <w:r>
        <w:t xml:space="preserve">Há dever de informar o consumidor do montante, ou basta a existência e a natureza da remuneração, paga pelo</w:t>
      </w:r>
      <w:r>
        <w:t xml:space="preserve"> </w:t>
      </w:r>
      <w:r>
        <w:t xml:space="preserve">prestador?</w:t>
      </w:r>
    </w:p>
    <w:p>
      <w:pPr>
        <w:numPr>
          <w:ilvl w:val="0"/>
          <w:numId w:val="1003"/>
        </w:numPr>
        <w:pStyle w:val="Compact"/>
      </w:pPr>
      <w:r>
        <w:t xml:space="preserve">Os critérios de ordenação das propostas e das sugestões de produtos (os produtos pedidos pelo cliente aparecem</w:t>
      </w:r>
      <w:r>
        <w:t xml:space="preserve"> </w:t>
      </w:r>
      <w:r>
        <w:t xml:space="preserve">primeiro; os materiais de fornecedores aparecem com o desconto para a obra) devem constar das condições gerais?</w:t>
      </w:r>
    </w:p>
    <w:bookmarkEnd w:id="23"/>
    <w:bookmarkStart w:id="24" w:name="conteúdo-obrigatório-do-orçamento"/>
    <w:p>
      <w:pPr>
        <w:pStyle w:val="Heading1"/>
      </w:pPr>
      <w:r>
        <w:t xml:space="preserve">4. Conteúdo obrigatório do orçamento</w:t>
      </w:r>
    </w:p>
    <w:p>
      <w:pPr>
        <w:pStyle w:val="FirstParagraph"/>
      </w:pPr>
      <w:r>
        <w:rPr>
          <w:bCs/>
          <w:b/>
        </w:rPr>
        <w:t xml:space="preserve">O que fizemos.</w:t>
      </w:r>
      <w:r>
        <w:t xml:space="preserve"> </w:t>
      </w:r>
      <w:r>
        <w:t xml:space="preserve">Em cada orçamento: (a) o pintor confirma que inclui</w:t>
      </w:r>
      <w:r>
        <w:t xml:space="preserve"> </w:t>
      </w:r>
      <w:r>
        <w:rPr>
          <w:bCs/>
          <w:b/>
        </w:rPr>
        <w:t xml:space="preserve">mão-de-obra qualificada</w:t>
      </w:r>
      <w:r>
        <w:t xml:space="preserve">; (b) declara os</w:t>
      </w:r>
      <w:r>
        <w:t xml:space="preserve"> </w:t>
      </w:r>
      <w:r>
        <w:rPr>
          <w:bCs/>
          <w:b/>
        </w:rPr>
        <w:t xml:space="preserve">seguros</w:t>
      </w:r>
      <w:r>
        <w:t xml:space="preserve"> </w:t>
      </w:r>
      <w:r>
        <w:t xml:space="preserve">de responsabilidade civil e de acidentes de trabalho, e declarar «não tenho» não impede a submissão, mas</w:t>
      </w:r>
      <w:r>
        <w:t xml:space="preserve"> </w:t>
      </w:r>
      <w:r>
        <w:t xml:space="preserve">o cliente vê um aviso a vermelho; (c)</w:t>
      </w:r>
      <w:r>
        <w:t xml:space="preserve"> </w:t>
      </w:r>
      <w:r>
        <w:rPr>
          <w:bCs/>
          <w:b/>
        </w:rPr>
        <w:t xml:space="preserve">plano de pagamentos por fases</w:t>
      </w:r>
      <w:r>
        <w:t xml:space="preserve">, somando 100% com o adiantamento (máximo 30%);</w:t>
      </w:r>
      <w:r>
        <w:t xml:space="preserve"> </w:t>
      </w:r>
      <w:r>
        <w:t xml:space="preserve">(d)</w:t>
      </w:r>
      <w:r>
        <w:t xml:space="preserve"> </w:t>
      </w:r>
      <w:r>
        <w:rPr>
          <w:bCs/>
          <w:b/>
        </w:rPr>
        <w:t xml:space="preserve">garantia legal</w:t>
      </w:r>
      <w:r>
        <w:t xml:space="preserve"> </w:t>
      </w:r>
      <w:r>
        <w:t xml:space="preserve">sempre indicada,</w:t>
      </w:r>
      <w:r>
        <w:t xml:space="preserve"> </w:t>
      </w:r>
      <w:r>
        <w:rPr>
          <w:bCs/>
          <w:b/>
        </w:rPr>
        <w:t xml:space="preserve">sem número</w:t>
      </w:r>
      <w:r>
        <w:t xml:space="preserve">, com garantia adicional opcional do pintor; (e) a plataforma</w:t>
      </w:r>
      <w:r>
        <w:t xml:space="preserve"> </w:t>
      </w:r>
      <w:r>
        <w:rPr>
          <w:bCs/>
          <w:b/>
        </w:rPr>
        <w:t xml:space="preserve">não verifica</w:t>
      </w:r>
      <w:r>
        <w:t xml:space="preserve"> </w:t>
      </w:r>
      <w:r>
        <w:t xml:space="preserve">o cumprimento: guarda a declaração.</w:t>
      </w:r>
    </w:p>
    <w:p>
      <w:pPr>
        <w:pStyle w:val="BodyText"/>
      </w:pPr>
      <w:r>
        <w:rPr>
          <w:bCs/>
          <w:b/>
        </w:rPr>
        <w:t xml:space="preserve">Perguntas.</w:t>
      </w:r>
    </w:p>
    <w:p>
      <w:pPr>
        <w:numPr>
          <w:ilvl w:val="0"/>
          <w:numId w:val="1004"/>
        </w:numPr>
        <w:pStyle w:val="Compact"/>
      </w:pPr>
      <w:r>
        <w:t xml:space="preserve">A garantia legal deve aparecer com texto ou prazo (art. 1225.º do Código Civil, 5 anos; prazos do DL 84/2021 para</w:t>
      </w:r>
      <w:r>
        <w:t xml:space="preserve"> </w:t>
      </w:r>
      <w:r>
        <w:t xml:space="preserve">bens de consumo, se aplicável), ou a remissão genérica basta?</w:t>
      </w:r>
    </w:p>
    <w:p>
      <w:pPr>
        <w:numPr>
          <w:ilvl w:val="0"/>
          <w:numId w:val="1004"/>
        </w:numPr>
        <w:pStyle w:val="Compact"/>
      </w:pPr>
      <w:r>
        <w:t xml:space="preserve">Permitir propor sem seguros, com aviso, é aceitável? A plataforma assume alguma responsabilidade?</w:t>
      </w:r>
    </w:p>
    <w:p>
      <w:pPr>
        <w:numPr>
          <w:ilvl w:val="0"/>
          <w:numId w:val="1004"/>
        </w:numPr>
        <w:pStyle w:val="Compact"/>
      </w:pPr>
      <w:r>
        <w:t xml:space="preserve">Declarações de «mão-de-obra qualificada» e de seguros: valor probatório e consequência de falsidade (cláusula</w:t>
      </w:r>
      <w:r>
        <w:t xml:space="preserve"> </w:t>
      </w:r>
      <w:r>
        <w:t xml:space="preserve">de resolução, exclusão da plataforma)?</w:t>
      </w:r>
    </w:p>
    <w:p>
      <w:pPr>
        <w:numPr>
          <w:ilvl w:val="0"/>
          <w:numId w:val="1004"/>
        </w:numPr>
        <w:pStyle w:val="Compact"/>
      </w:pPr>
      <w:r>
        <w:t xml:space="preserve">Um empresário em nome individual precisa de algo diferente das empresas (habilitação IMPIC, valores)?</w:t>
      </w:r>
    </w:p>
    <w:bookmarkEnd w:id="24"/>
    <w:bookmarkStart w:id="25" w:name="caução-e-dinheiro-continuação"/>
    <w:p>
      <w:pPr>
        <w:pStyle w:val="Heading1"/>
      </w:pPr>
      <w:r>
        <w:t xml:space="preserve">5. Caução e dinheiro (continuação)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Mínimo de 150 € na caução do cliente.</w:t>
      </w:r>
      <w:r>
        <w:t xml:space="preserve"> </w:t>
      </w:r>
      <w:r>
        <w:t xml:space="preserve">Mantém-se (decisão do promotor, contra a sugestão do parecer B2 de o</w:t>
      </w:r>
      <w:r>
        <w:t xml:space="preserve"> </w:t>
      </w:r>
      <w:r>
        <w:t xml:space="preserve">retirar). Em obras pequenas pode chegar a 30%. Pedimos redação que o torne defensável (por exemplo, justificação</w:t>
      </w:r>
      <w:r>
        <w:t xml:space="preserve"> </w:t>
      </w:r>
      <w:r>
        <w:t xml:space="preserve">pelo custo do serviço de apresentação) ou a recomendação de o retirar.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Devolução automática de pagamentos que a plataforma não pode aceitar</w:t>
      </w:r>
      <w:r>
        <w:t xml:space="preserve"> </w:t>
      </w:r>
      <w:r>
        <w:t xml:space="preserve">(pagamento tardio ou duplicado): é feita</w:t>
      </w:r>
      <w:r>
        <w:t xml:space="preserve"> </w:t>
      </w:r>
      <w:r>
        <w:t xml:space="preserve">por instrução ao parceiro (Stripe). Confirmar que, juridicamente, a plataforma não detém os fundos e que o modelo</w:t>
      </w:r>
      <w:r>
        <w:t xml:space="preserve"> </w:t>
      </w:r>
      <w:r>
        <w:t xml:space="preserve">está dentro do estatuto do parceiro (</w:t>
      </w:r>
      <w:r>
        <w:rPr>
          <w:bCs/>
          <w:b/>
        </w:rPr>
        <w:t xml:space="preserve">A1</w:t>
      </w:r>
      <w:r>
        <w:t xml:space="preserve">: pedido de confirmação escrita da Stripe ou do parceiro escolhido).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Contrato cliente–plataforma (B3):</w:t>
      </w:r>
      <w:r>
        <w:t xml:space="preserve"> </w:t>
      </w:r>
      <w:r>
        <w:t xml:space="preserve">falta ainda o texto das condições gerais aceites antes do depósito.</w:t>
      </w:r>
    </w:p>
    <w:bookmarkEnd w:id="25"/>
    <w:bookmarkStart w:id="26" w:name="dados-pessoais-anonimato-e-conteúdos"/>
    <w:p>
      <w:pPr>
        <w:pStyle w:val="Heading1"/>
      </w:pPr>
      <w:r>
        <w:t xml:space="preserve">6. Dados pessoais, anonimato e conteúdos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Política de privacidade e termos</w:t>
      </w:r>
      <w:r>
        <w:t xml:space="preserve">: pedimos a redação, para clientes e para pintores/fornecedores, incluindo</w:t>
      </w:r>
      <w:r>
        <w:t xml:space="preserve"> </w:t>
      </w:r>
      <w:r>
        <w:t xml:space="preserve">conservação de documentos (</w:t>
      </w:r>
      <w:r>
        <w:rPr>
          <w:bCs/>
          <w:b/>
        </w:rPr>
        <w:t xml:space="preserve">E3</w:t>
      </w:r>
      <w:r>
        <w:t xml:space="preserve">: contratos e provas de assinatura 10 anos; verificação até 2 anos após</w:t>
      </w:r>
      <w:r>
        <w:t xml:space="preserve"> </w:t>
      </w:r>
      <w:r>
        <w:t xml:space="preserve">inatividade; fiscais pelo prazo legal).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Anonimato até à apresentação:</w:t>
      </w:r>
      <w:r>
        <w:t xml:space="preserve"> </w:t>
      </w:r>
      <w:r>
        <w:t xml:space="preserve">morada, nomes e fotografias originais não chegam à outra parte; as fotografias</w:t>
      </w:r>
      <w:r>
        <w:t xml:space="preserve"> </w:t>
      </w:r>
      <w:r>
        <w:t xml:space="preserve">só geram um volume 3D não reconhecível. Há risco de dados pessoais nas fotografias carregadas? Que aviso</w:t>
      </w:r>
      <w:r>
        <w:t xml:space="preserve"> </w:t>
      </w:r>
      <w:r>
        <w:t xml:space="preserve">aos utilizadores?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Verificação de NIF e nome (nif.pt):</w:t>
      </w:r>
      <w:r>
        <w:t xml:space="preserve"> </w:t>
      </w:r>
      <w:r>
        <w:t xml:space="preserve">ao registar uma entidade empresarial, consultamos um serviço público para</w:t>
      </w:r>
      <w:r>
        <w:t xml:space="preserve"> </w:t>
      </w:r>
      <w:r>
        <w:t xml:space="preserve">confirmar existência, estado e denominação. Não guardamos a resposta. Há reparos?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Livro de Reclamações eletrónico</w:t>
      </w:r>
      <w:r>
        <w:t xml:space="preserve"> </w:t>
      </w:r>
      <w:r>
        <w:t xml:space="preserve">e resolução alternativa de litígios: obrigações e onde publicar.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Avaliações</w:t>
      </w:r>
      <w:r>
        <w:t xml:space="preserve"> </w:t>
      </w:r>
      <w:r>
        <w:t xml:space="preserve">dos pintores e média só a partir de 3 obras: responsabilidade pelo conteúdo, moderação (DSA).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Planos de fornecedores</w:t>
      </w:r>
      <w:r>
        <w:t xml:space="preserve"> </w:t>
      </w:r>
      <w:r>
        <w:t xml:space="preserve">(39 € e 49 €/mês, códigos promocionais): tratamento fiscal e condições de subscrição.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Catálogo de referência</w:t>
      </w:r>
      <w:r>
        <w:t xml:space="preserve"> </w:t>
      </w:r>
      <w:r>
        <w:t xml:space="preserve">(marcas, fichas e preços públicos de fabricantes): uso de marcas e de informação</w:t>
      </w:r>
      <w:r>
        <w:t xml:space="preserve"> </w:t>
      </w:r>
      <w:r>
        <w:t xml:space="preserve">pública; necessidade de aviso de que os preços são de tabela.</w:t>
      </w:r>
    </w:p>
    <w:bookmarkEnd w:id="26"/>
    <w:bookmarkStart w:id="27" w:name="assinatura"/>
    <w:p>
      <w:pPr>
        <w:pStyle w:val="Heading1"/>
      </w:pPr>
      <w:r>
        <w:t xml:space="preserve">7. Assinatura</w:t>
      </w:r>
    </w:p>
    <w:p>
      <w:pPr>
        <w:numPr>
          <w:ilvl w:val="0"/>
          <w:numId w:val="1007"/>
        </w:numPr>
        <w:pStyle w:val="Compact"/>
      </w:pPr>
      <w:r>
        <w:t xml:space="preserve">Aceitação simples (clicar «aceito») foi usada só em testes; em produção exige Chave Móvel Digital. Confirmar que a</w:t>
      </w:r>
      <w:r>
        <w:t xml:space="preserve"> </w:t>
      </w:r>
      <w:r>
        <w:t xml:space="preserve">aceitação simples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vale como assinatura do contrato de empreitada.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Identidades no PDF</w:t>
      </w:r>
      <w:r>
        <w:t xml:space="preserve"> </w:t>
      </w:r>
      <w:r>
        <w:t xml:space="preserve">(E4): o PDF assinado passa a ter nomes, depois da apresentação. Confirmar.</w:t>
      </w:r>
    </w:p>
    <w:bookmarkEnd w:id="27"/>
    <w:bookmarkStart w:id="28" w:name="pedidos-de-documentos"/>
    <w:p>
      <w:pPr>
        <w:pStyle w:val="Heading1"/>
      </w:pPr>
      <w:r>
        <w:t xml:space="preserve">8. Pedidos de documentos</w:t>
      </w:r>
    </w:p>
    <w:p>
      <w:pPr>
        <w:pStyle w:val="FirstParagraph"/>
      </w:pPr>
      <w:r>
        <w:t xml:space="preserve">Pedimos, além das respostas: (i) condições gerais cliente; (ii) condições gerais pintor/fornecedor; (iii) revisão da</w:t>
      </w:r>
      <w:r>
        <w:t xml:space="preserve"> </w:t>
      </w:r>
      <w:r>
        <w:t xml:space="preserve">minuta, incluindo a cláusula 2-B; (iv) política de privacidade e de cookies; (v) cláusula de não evasão; (vi) modelo</w:t>
      </w:r>
      <w:r>
        <w:t xml:space="preserve"> </w:t>
      </w:r>
      <w:r>
        <w:t xml:space="preserve">de ponto de ordem de trabalhos para condomínios (D2).</w:t>
      </w:r>
    </w:p>
    <w:p>
      <w:pPr>
        <w:pStyle w:val="BodyText"/>
      </w:pPr>
      <w:r>
        <w:rPr>
          <w:iCs/>
          <w:i/>
        </w:rPr>
        <w:t xml:space="preserve">Anexos disponíveis:</w:t>
      </w:r>
      <w:r>
        <w:t xml:space="preserve"> </w:t>
      </w:r>
      <w:r>
        <w:t xml:space="preserve">código das regras (</w:t>
      </w:r>
      <w:r>
        <w:rPr>
          <w:rStyle w:val="VerbatimChar"/>
        </w:rPr>
        <w:t xml:space="preserve">src/domain/equivalence.ts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strikes.ts</w:t>
      </w:r>
      <w:r>
        <w:t xml:space="preserve">), cláusulas do contrato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src/domain/contracting.ts</w:t>
      </w:r>
      <w:r>
        <w:t xml:space="preserve">), página Transparência.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Pinta — segunda ronda de questões jurídicas</dc:title>
  <dc:creator/>
  <cp:keywords/>
  <dcterms:created xsi:type="dcterms:W3CDTF">2026-10-21T20:57:47Z</dcterms:created>
  <dcterms:modified xsi:type="dcterms:W3CDTF">2026-10-21T20:57:47Z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de outubro de 2026</vt:lpwstr>
  </property>
  <property fmtid="{D5CDD505-2E9C-101B-9397-08002B2CF9AE}" pid="3" name="subtitle">
    <vt:lpwstr>O que mudou desde o parecer de 19/10/2026, para validação</vt:lpwstr>
  </property>
</Properties>
</file>