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Quem</w:t>
      </w:r>
      <w:r>
        <w:t xml:space="preserve"> </w:t>
      </w:r>
      <w:r>
        <w:t xml:space="preserve">Pinta</w:t>
      </w:r>
      <w:r>
        <w:t xml:space="preserve"> </w:t>
      </w:r>
      <w:r>
        <w:t xml:space="preserve">—</w:t>
      </w:r>
      <w:r>
        <w:t xml:space="preserve"> </w:t>
      </w:r>
      <w:r>
        <w:t xml:space="preserve">roteiro</w:t>
      </w:r>
      <w:r>
        <w:t xml:space="preserve"> </w:t>
      </w:r>
      <w:r>
        <w:t xml:space="preserve">de</w:t>
      </w:r>
      <w:r>
        <w:t xml:space="preserve"> </w:t>
      </w:r>
      <w:r>
        <w:t xml:space="preserve">teste</w:t>
      </w:r>
      <w:r>
        <w:t xml:space="preserve"> </w:t>
      </w:r>
      <w:r>
        <w:t xml:space="preserve">para</w:t>
      </w:r>
      <w:r>
        <w:t xml:space="preserve"> </w:t>
      </w:r>
      <w:r>
        <w:t xml:space="preserve">pintores</w:t>
      </w:r>
    </w:p>
    <w:p>
      <w:pPr>
        <w:pStyle w:val="Subtitle"/>
      </w:pPr>
      <w:r>
        <w:t xml:space="preserve">Cerca</w:t>
      </w:r>
      <w:r>
        <w:t xml:space="preserve"> </w:t>
      </w:r>
      <w:r>
        <w:t xml:space="preserve">de</w:t>
      </w:r>
      <w:r>
        <w:t xml:space="preserve"> </w:t>
      </w:r>
      <w:r>
        <w:t xml:space="preserve">45</w:t>
      </w:r>
      <w:r>
        <w:t xml:space="preserve"> </w:t>
      </w:r>
      <w:r>
        <w:t xml:space="preserve">minutos.</w:t>
      </w:r>
      <w:r>
        <w:t xml:space="preserve"> </w:t>
      </w:r>
      <w:r>
        <w:t xml:space="preserve">Versão</w:t>
      </w:r>
      <w:r>
        <w:t xml:space="preserve"> </w:t>
      </w:r>
      <w:r>
        <w:t xml:space="preserve">de</w:t>
      </w:r>
      <w:r>
        <w:t xml:space="preserve"> </w:t>
      </w:r>
      <w:r>
        <w:t xml:space="preserve">teste:</w:t>
      </w:r>
      <w:r>
        <w:t xml:space="preserve"> </w:t>
      </w:r>
      <w:r>
        <w:t xml:space="preserve">pagamentos</w:t>
      </w:r>
      <w:r>
        <w:t xml:space="preserve"> </w:t>
      </w:r>
      <w:r>
        <w:t xml:space="preserve">em</w:t>
      </w:r>
      <w:r>
        <w:t xml:space="preserve"> </w:t>
      </w:r>
      <w:r>
        <w:t xml:space="preserve">modo</w:t>
      </w:r>
      <w:r>
        <w:t xml:space="preserve"> </w:t>
      </w:r>
      <w:r>
        <w:t xml:space="preserve">de</w:t>
      </w:r>
      <w:r>
        <w:t xml:space="preserve"> </w:t>
      </w:r>
      <w:r>
        <w:t xml:space="preserve">teste,</w:t>
      </w:r>
      <w:r>
        <w:t xml:space="preserve"> </w:t>
      </w:r>
      <w:r>
        <w:t xml:space="preserve">nada</w:t>
      </w:r>
      <w:r>
        <w:t xml:space="preserve"> </w:t>
      </w:r>
      <w:r>
        <w:t xml:space="preserve">é</w:t>
      </w:r>
      <w:r>
        <w:t xml:space="preserve"> </w:t>
      </w:r>
      <w:r>
        <w:t xml:space="preserve">real.</w:t>
      </w:r>
    </w:p>
    <w:p>
      <w:pPr>
        <w:pStyle w:val="Date"/>
      </w:pPr>
      <w:r>
        <w:t xml:space="preserve">21</w:t>
      </w:r>
      <w:r>
        <w:t xml:space="preserve"> </w:t>
      </w:r>
      <w:r>
        <w:t xml:space="preserve">de</w:t>
      </w:r>
      <w:r>
        <w:t xml:space="preserve"> </w:t>
      </w:r>
      <w:r>
        <w:t xml:space="preserve">outubro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bookmarkStart w:id="20" w:name="antes-de-começar-promotor"/>
    <w:p>
      <w:pPr>
        <w:pStyle w:val="Heading1"/>
      </w:pPr>
      <w:r>
        <w:t xml:space="preserve">Antes de começar (promotor)</w:t>
      </w:r>
    </w:p>
    <w:p>
      <w:pPr>
        <w:numPr>
          <w:ilvl w:val="0"/>
          <w:numId w:val="1001"/>
        </w:numPr>
        <w:pStyle w:val="Compact"/>
      </w:pPr>
      <w:r>
        <w:t xml:space="preserve">Criar</w:t>
      </w:r>
      <w:r>
        <w:t xml:space="preserve"> </w:t>
      </w:r>
      <w:r>
        <w:rPr>
          <w:bCs/>
          <w:b/>
        </w:rPr>
        <w:t xml:space="preserve">2 pedidos de teste</w:t>
      </w:r>
      <w:r>
        <w:t xml:space="preserve">, com contas de cliente diferentes: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Pedido A:</w:t>
      </w:r>
      <w:r>
        <w:t xml:space="preserve"> </w:t>
      </w:r>
      <w:r>
        <w:t xml:space="preserve">prédio de 3 pisos, 2 fachadas com áreas diferentes, pintura exterior com fissuras.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Pedido B:</w:t>
      </w:r>
      <w:r>
        <w:t xml:space="preserve"> </w:t>
      </w:r>
      <w:r>
        <w:t xml:space="preserve">moradia simples, uma fachada, só pintura final.</w:t>
      </w:r>
    </w:p>
    <w:p>
      <w:pPr>
        <w:numPr>
          <w:ilvl w:val="0"/>
          <w:numId w:val="1001"/>
        </w:numPr>
        <w:pStyle w:val="Compact"/>
      </w:pPr>
      <w:r>
        <w:t xml:space="preserve">Fechar o prazo de cada pedido só depois do teste (prazo de propostas de pelo menos 7 dias).</w:t>
      </w:r>
    </w:p>
    <w:p>
      <w:pPr>
        <w:numPr>
          <w:ilvl w:val="0"/>
          <w:numId w:val="1001"/>
        </w:numPr>
        <w:pStyle w:val="Compact"/>
      </w:pPr>
      <w:r>
        <w:t xml:space="preserve">Dar a cada pintor o endereço https://quempinta.pt e o seu email de convite. Pagamentos em modo de teste:</w:t>
      </w:r>
      <w:r>
        <w:t xml:space="preserve"> </w:t>
      </w:r>
      <w:r>
        <w:t xml:space="preserve">cartão</w:t>
      </w:r>
      <w:r>
        <w:t xml:space="preserve"> </w:t>
      </w:r>
      <w:r>
        <w:rPr>
          <w:rStyle w:val="VerbatimChar"/>
        </w:rPr>
        <w:t xml:space="preserve">4242 4242 4242 4242</w:t>
      </w:r>
      <w:r>
        <w:t xml:space="preserve">, qualquer data futura e CVC.</w:t>
      </w:r>
    </w:p>
    <w:p>
      <w:pPr>
        <w:numPr>
          <w:ilvl w:val="0"/>
          <w:numId w:val="1001"/>
        </w:numPr>
        <w:pStyle w:val="Compact"/>
      </w:pPr>
      <w:r>
        <w:t xml:space="preserve">Combinar um canal para dúvidas durante o teste e pedir que</w:t>
      </w:r>
      <w:r>
        <w:t xml:space="preserve"> </w:t>
      </w:r>
      <w:r>
        <w:rPr>
          <w:bCs/>
          <w:b/>
        </w:rPr>
        <w:t xml:space="preserve">escrevam o que pensam enquanto fazem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Ligar</w:t>
      </w:r>
      <w:r>
        <w:t xml:space="preserve"> </w:t>
      </w:r>
      <w:r>
        <w:rPr>
          <w:rStyle w:val="VerbatimChar"/>
        </w:rPr>
        <w:t xml:space="preserve">NEXT_PUBLIC_EQUIVALENTE=1</w:t>
      </w:r>
      <w:r>
        <w:t xml:space="preserve"> </w:t>
      </w:r>
      <w:r>
        <w:rPr>
          <w:bCs/>
          <w:b/>
        </w:rPr>
        <w:t xml:space="preserve">só se</w:t>
      </w:r>
      <w:r>
        <w:t xml:space="preserve"> </w:t>
      </w:r>
      <w:r>
        <w:t xml:space="preserve">houver parecer; senão, a caixa «ou equivalente» não aparece e a</w:t>
      </w:r>
      <w:r>
        <w:t xml:space="preserve"> </w:t>
      </w:r>
      <w:r>
        <w:t xml:space="preserve">tarefa 6 salta-se.</w:t>
      </w:r>
    </w:p>
    <w:bookmarkEnd w:id="20"/>
    <w:bookmarkStart w:id="28" w:name="o-que-pedir-ao-pintor"/>
    <w:p>
      <w:pPr>
        <w:pStyle w:val="Heading1"/>
      </w:pPr>
      <w:r>
        <w:t xml:space="preserve">O que pedir ao pintor</w:t>
      </w:r>
    </w:p>
    <w:p>
      <w:pPr>
        <w:pStyle w:val="FirstParagraph"/>
      </w:pPr>
      <w:r>
        <w:t xml:space="preserve">Não explicar nada antes: observar onde hesita. Tempo-alvo entre parênteses.</w:t>
      </w:r>
    </w:p>
    <w:bookmarkStart w:id="21" w:name="entrar-e-criar-a-empresa-5-min"/>
    <w:p>
      <w:pPr>
        <w:pStyle w:val="Heading2"/>
      </w:pPr>
      <w:r>
        <w:t xml:space="preserve">1. Entrar e criar a empresa (5 min)</w:t>
      </w:r>
    </w:p>
    <w:p>
      <w:pPr>
        <w:numPr>
          <w:ilvl w:val="0"/>
          <w:numId w:val="1003"/>
        </w:numPr>
        <w:pStyle w:val="Compact"/>
      </w:pPr>
      <w:r>
        <w:t xml:space="preserve">Criar conta e registar a empresa com o NIF real (o nome tem de corresponder ao titular do NIF).</w:t>
      </w:r>
    </w:p>
    <w:p>
      <w:pPr>
        <w:numPr>
          <w:ilvl w:val="0"/>
          <w:numId w:val="1003"/>
        </w:numPr>
        <w:pStyle w:val="Compact"/>
      </w:pPr>
      <w:r>
        <w:t xml:space="preserve">Carregar um documento (alvará ou certificado, seguro) e ver o estado «por validar».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Observar:</w:t>
      </w:r>
      <w:r>
        <w:t xml:space="preserve"> </w:t>
      </w:r>
      <w:r>
        <w:t xml:space="preserve">o NIF e o nome foram aceites? Alguma mensagem confusa?</w:t>
      </w:r>
    </w:p>
    <w:bookmarkEnd w:id="21"/>
    <w:bookmarkStart w:id="22" w:name="encontrar-e-perceber-a-obra-5-min"/>
    <w:p>
      <w:pPr>
        <w:pStyle w:val="Heading2"/>
      </w:pPr>
      <w:r>
        <w:t xml:space="preserve">2. Encontrar e perceber a obra (5 min)</w:t>
      </w:r>
    </w:p>
    <w:p>
      <w:pPr>
        <w:numPr>
          <w:ilvl w:val="0"/>
          <w:numId w:val="1004"/>
        </w:numPr>
        <w:pStyle w:val="Compact"/>
      </w:pPr>
      <w:r>
        <w:t xml:space="preserve">Abrir</w:t>
      </w:r>
      <w:r>
        <w:t xml:space="preserve"> </w:t>
      </w:r>
      <w:r>
        <w:rPr>
          <w:bCs/>
          <w:b/>
        </w:rPr>
        <w:t xml:space="preserve">Oportunidades</w:t>
      </w:r>
      <w:r>
        <w:t xml:space="preserve"> </w:t>
      </w:r>
      <w:r>
        <w:t xml:space="preserve">e escolher o Pedido A.</w:t>
      </w:r>
    </w:p>
    <w:p>
      <w:pPr>
        <w:numPr>
          <w:ilvl w:val="0"/>
          <w:numId w:val="1004"/>
        </w:numPr>
        <w:pStyle w:val="Compact"/>
      </w:pPr>
      <w:r>
        <w:t xml:space="preserve">Pergunta:</w:t>
      </w:r>
      <w:r>
        <w:t xml:space="preserve"> </w:t>
      </w:r>
      <w:r>
        <w:rPr>
          <w:iCs/>
          <w:i/>
        </w:rPr>
        <w:t xml:space="preserve">«Com o que vê aqui, consegue orçamentar? O que falta saber?»</w:t>
      </w:r>
    </w:p>
    <w:bookmarkEnd w:id="22"/>
    <w:bookmarkStart w:id="23" w:name="preparar-o-orçamento-sem-ajuda-15-min"/>
    <w:p>
      <w:pPr>
        <w:pStyle w:val="Heading2"/>
      </w:pPr>
      <w:r>
        <w:t xml:space="preserve">3. Preparar o orçamento, sem ajuda (15 min)</w:t>
      </w:r>
    </w:p>
    <w:p>
      <w:pPr>
        <w:numPr>
          <w:ilvl w:val="0"/>
          <w:numId w:val="1005"/>
        </w:numPr>
        <w:pStyle w:val="Compact"/>
      </w:pPr>
      <w:r>
        <w:t xml:space="preserve">«Começar proposta» e usar</w:t>
      </w:r>
      <w:r>
        <w:t xml:space="preserve"> </w:t>
      </w:r>
      <w:r>
        <w:rPr>
          <w:bCs/>
          <w:b/>
        </w:rPr>
        <w:t xml:space="preserve">Preparar orçamento</w:t>
      </w:r>
      <w:r>
        <w:t xml:space="preserve">: Trabalhos → Preços → Condições → Rever.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Observar:</w:t>
      </w:r>
    </w:p>
    <w:p>
      <w:pPr>
        <w:numPr>
          <w:ilvl w:val="1"/>
          <w:numId w:val="1006"/>
        </w:numPr>
        <w:pStyle w:val="Compact"/>
      </w:pPr>
      <w:r>
        <w:t xml:space="preserve">Percebe o que é cada trabalho e escolhe os que fazem sentido?</w:t>
      </w:r>
    </w:p>
    <w:p>
      <w:pPr>
        <w:numPr>
          <w:ilvl w:val="1"/>
          <w:numId w:val="1006"/>
        </w:numPr>
        <w:pStyle w:val="Compact"/>
      </w:pPr>
      <w:r>
        <w:t xml:space="preserve">Usa</w:t>
      </w:r>
      <w:r>
        <w:t xml:space="preserve"> </w:t>
      </w:r>
      <w:r>
        <w:rPr>
          <w:bCs/>
          <w:b/>
        </w:rPr>
        <w:t xml:space="preserve">zonas</w:t>
      </w:r>
      <w:r>
        <w:t xml:space="preserve"> </w:t>
      </w:r>
      <w:r>
        <w:t xml:space="preserve">(fachadas) e a quantidade sugerida?</w:t>
      </w:r>
    </w:p>
    <w:p>
      <w:pPr>
        <w:numPr>
          <w:ilvl w:val="1"/>
          <w:numId w:val="1006"/>
        </w:numPr>
        <w:pStyle w:val="Compact"/>
      </w:pPr>
      <w:r>
        <w:t xml:space="preserve">Usa o botão</w:t>
      </w:r>
      <w:r>
        <w:t xml:space="preserve"> </w:t>
      </w:r>
      <w:r>
        <w:rPr>
          <w:bCs/>
          <w:b/>
        </w:rPr>
        <w:t xml:space="preserve">Sugestões</w:t>
      </w:r>
      <w:r>
        <w:t xml:space="preserve"> </w:t>
      </w:r>
      <w:r>
        <w:t xml:space="preserve">nos produtos? Os produtos sugeridos são os que usaria?</w:t>
      </w:r>
    </w:p>
    <w:p>
      <w:pPr>
        <w:numPr>
          <w:ilvl w:val="1"/>
          <w:numId w:val="1006"/>
        </w:numPr>
        <w:pStyle w:val="Compact"/>
      </w:pPr>
      <w:r>
        <w:t xml:space="preserve">Passa de separador para separador e nada se perde?</w:t>
      </w:r>
    </w:p>
    <w:p>
      <w:pPr>
        <w:numPr>
          <w:ilvl w:val="1"/>
          <w:numId w:val="1006"/>
        </w:numPr>
        <w:pStyle w:val="Compact"/>
      </w:pPr>
      <w:r>
        <w:t xml:space="preserve">Preços: prefere</w:t>
      </w:r>
      <w:r>
        <w:t xml:space="preserve"> </w:t>
      </w:r>
      <w:r>
        <w:rPr>
          <w:bCs/>
          <w:b/>
        </w:rPr>
        <w:t xml:space="preserve">discriminado por trabalho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preço global</w:t>
      </w:r>
      <w:r>
        <w:t xml:space="preserve">?</w:t>
      </w:r>
    </w:p>
    <w:p>
      <w:pPr>
        <w:numPr>
          <w:ilvl w:val="1"/>
          <w:numId w:val="1006"/>
        </w:numPr>
        <w:pStyle w:val="Compact"/>
      </w:pPr>
      <w:r>
        <w:t xml:space="preserve">Condições: entende o plano de pagamentos (soma 100%), as declarações e os seguros?</w:t>
      </w:r>
    </w:p>
    <w:p>
      <w:pPr>
        <w:numPr>
          <w:ilvl w:val="0"/>
          <w:numId w:val="1005"/>
        </w:numPr>
        <w:pStyle w:val="Compact"/>
      </w:pPr>
      <w:r>
        <w:t xml:space="preserve">Perguntas depois:</w:t>
      </w:r>
      <w:r>
        <w:t xml:space="preserve"> </w:t>
      </w:r>
      <w:r>
        <w:rPr>
          <w:iCs/>
          <w:i/>
        </w:rPr>
        <w:t xml:space="preserve">«O que foi mais difícil? O que gostaria de ver que não aparece? Demorou mais ou menos do que</w:t>
      </w:r>
      <w:r>
        <w:rPr>
          <w:iCs/>
          <w:i/>
        </w:rPr>
        <w:t xml:space="preserve"> </w:t>
      </w:r>
      <w:r>
        <w:rPr>
          <w:iCs/>
          <w:i/>
        </w:rPr>
        <w:t xml:space="preserve">o seu método habitual?»</w:t>
      </w:r>
    </w:p>
    <w:bookmarkEnd w:id="23"/>
    <w:bookmarkStart w:id="24" w:name="guardar-e-reutilizar-o-método-5-min"/>
    <w:p>
      <w:pPr>
        <w:pStyle w:val="Heading2"/>
      </w:pPr>
      <w:r>
        <w:t xml:space="preserve">4. Guardar e reutilizar o método (5 min)</w:t>
      </w:r>
    </w:p>
    <w:p>
      <w:pPr>
        <w:numPr>
          <w:ilvl w:val="0"/>
          <w:numId w:val="1007"/>
        </w:numPr>
        <w:pStyle w:val="Compact"/>
      </w:pPr>
      <w:r>
        <w:t xml:space="preserve">No topo de</w:t>
      </w:r>
      <w:r>
        <w:t xml:space="preserve"> </w:t>
      </w:r>
      <w:r>
        <w:rPr>
          <w:bCs/>
          <w:b/>
        </w:rPr>
        <w:t xml:space="preserve">Preparar orçamento</w:t>
      </w:r>
      <w:r>
        <w:t xml:space="preserve">, usar «Guardar como método…» com um nome.</w:t>
      </w:r>
    </w:p>
    <w:p>
      <w:pPr>
        <w:numPr>
          <w:ilvl w:val="0"/>
          <w:numId w:val="1007"/>
        </w:numPr>
        <w:pStyle w:val="Compact"/>
      </w:pPr>
      <w:r>
        <w:t xml:space="preserve">Abrir o</w:t>
      </w:r>
      <w:r>
        <w:t xml:space="preserve"> </w:t>
      </w:r>
      <w:r>
        <w:rPr>
          <w:bCs/>
          <w:b/>
        </w:rPr>
        <w:t xml:space="preserve">Pedido B</w:t>
      </w:r>
      <w:r>
        <w:t xml:space="preserve">, começar proposta e</w:t>
      </w:r>
      <w:r>
        <w:t xml:space="preserve"> </w:t>
      </w:r>
      <w:r>
        <w:rPr>
          <w:bCs/>
          <w:b/>
        </w:rPr>
        <w:t xml:space="preserve">aplicar</w:t>
      </w:r>
      <w:r>
        <w:t xml:space="preserve"> </w:t>
      </w:r>
      <w:r>
        <w:t xml:space="preserve">o método. Ajustar zonas, quantidades e preços.</w:t>
      </w:r>
    </w:p>
    <w:p>
      <w:pPr>
        <w:numPr>
          <w:ilvl w:val="0"/>
          <w:numId w:val="1007"/>
        </w:numPr>
        <w:pStyle w:val="Compact"/>
      </w:pPr>
      <w:r>
        <w:t xml:space="preserve">Pergunta:</w:t>
      </w:r>
      <w:r>
        <w:t xml:space="preserve"> </w:t>
      </w:r>
      <w:r>
        <w:rPr>
          <w:iCs/>
          <w:i/>
        </w:rPr>
        <w:t xml:space="preserve">«Isto reflete o seu modo de trabalhar? O que falta no método?»</w:t>
      </w:r>
    </w:p>
    <w:bookmarkEnd w:id="24"/>
    <w:bookmarkStart w:id="25" w:name="rever-e-submeter-5-min"/>
    <w:p>
      <w:pPr>
        <w:pStyle w:val="Heading2"/>
      </w:pPr>
      <w:r>
        <w:t xml:space="preserve">5. Rever e submeter (5 min)</w:t>
      </w:r>
    </w:p>
    <w:p>
      <w:pPr>
        <w:numPr>
          <w:ilvl w:val="0"/>
          <w:numId w:val="1008"/>
        </w:numPr>
        <w:pStyle w:val="Compact"/>
      </w:pPr>
      <w:r>
        <w:t xml:space="preserve">Ver a folha de</w:t>
      </w:r>
      <w:r>
        <w:t xml:space="preserve"> </w:t>
      </w:r>
      <w:r>
        <w:rPr>
          <w:bCs/>
          <w:b/>
        </w:rPr>
        <w:t xml:space="preserve">Rever</w:t>
      </w:r>
      <w:r>
        <w:t xml:space="preserve"> </w:t>
      </w:r>
      <w:r>
        <w:t xml:space="preserve">(como o cliente vai ver) e as pendências.</w:t>
      </w:r>
    </w:p>
    <w:p>
      <w:pPr>
        <w:numPr>
          <w:ilvl w:val="0"/>
          <w:numId w:val="1008"/>
        </w:numPr>
        <w:pStyle w:val="Compact"/>
      </w:pPr>
      <w:r>
        <w:t xml:space="preserve">Submeter o Pedido A.</w:t>
      </w:r>
    </w:p>
    <w:p>
      <w:pPr>
        <w:numPr>
          <w:ilvl w:val="0"/>
          <w:numId w:val="1008"/>
        </w:numPr>
        <w:pStyle w:val="Compact"/>
      </w:pPr>
      <w:r>
        <w:t xml:space="preserve">Pergunta:</w:t>
      </w:r>
      <w:r>
        <w:t xml:space="preserve"> </w:t>
      </w:r>
      <w:r>
        <w:rPr>
          <w:iCs/>
          <w:i/>
        </w:rPr>
        <w:t xml:space="preserve">«Esta folha é o que mandaria a um cliente? Mudava alguma coisa?»</w:t>
      </w:r>
    </w:p>
    <w:bookmarkEnd w:id="25"/>
    <w:bookmarkStart w:id="26" w:name="ou-equivalente-só-com-parecer-3-min"/>
    <w:p>
      <w:pPr>
        <w:pStyle w:val="Heading2"/>
      </w:pPr>
      <w:r>
        <w:t xml:space="preserve">6. «Ou equivalente» (só com parecer; 3 min)</w:t>
      </w:r>
    </w:p>
    <w:p>
      <w:pPr>
        <w:numPr>
          <w:ilvl w:val="0"/>
          <w:numId w:val="1009"/>
        </w:numPr>
        <w:pStyle w:val="Compact"/>
      </w:pPr>
      <w:r>
        <w:t xml:space="preserve">Num produto, assinalar «ou equivalente» e ler a explicação no «?».</w:t>
      </w:r>
    </w:p>
    <w:p>
      <w:pPr>
        <w:numPr>
          <w:ilvl w:val="0"/>
          <w:numId w:val="1009"/>
        </w:numPr>
        <w:pStyle w:val="Compact"/>
      </w:pPr>
      <w:r>
        <w:t xml:space="preserve">Pergunta:</w:t>
      </w:r>
      <w:r>
        <w:t xml:space="preserve"> </w:t>
      </w:r>
      <w:r>
        <w:rPr>
          <w:iCs/>
          <w:i/>
        </w:rPr>
        <w:t xml:space="preserve">«Percebe a regra dos 10% e das características? Usaria?»</w:t>
      </w:r>
    </w:p>
    <w:bookmarkEnd w:id="26"/>
    <w:bookmarkStart w:id="27" w:name="mensagens-e-regras-3-min"/>
    <w:p>
      <w:pPr>
        <w:pStyle w:val="Heading2"/>
      </w:pPr>
      <w:r>
        <w:t xml:space="preserve">7. Mensagens e regras (3 min)</w:t>
      </w:r>
    </w:p>
    <w:p>
      <w:pPr>
        <w:numPr>
          <w:ilvl w:val="0"/>
          <w:numId w:val="1010"/>
        </w:numPr>
        <w:pStyle w:val="Compact"/>
      </w:pPr>
      <w:r>
        <w:t xml:space="preserve">Enviar uma pergunta técnica ao cliente através das</w:t>
      </w:r>
      <w:r>
        <w:t xml:space="preserve"> </w:t>
      </w:r>
      <w:r>
        <w:rPr>
          <w:bCs/>
          <w:b/>
        </w:rPr>
        <w:t xml:space="preserve">Mensagens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Não testar de propósito</w:t>
      </w:r>
      <w:r>
        <w:t xml:space="preserve"> </w:t>
      </w:r>
      <w:r>
        <w:t xml:space="preserve">a partilha de contactos (conta como aviso). Perguntar apenas:</w:t>
      </w:r>
      <w:r>
        <w:t xml:space="preserve"> </w:t>
      </w:r>
      <w:r>
        <w:rPr>
          <w:iCs/>
          <w:i/>
        </w:rPr>
        <w:t xml:space="preserve">«Percebe porque não</w:t>
      </w:r>
      <w:r>
        <w:rPr>
          <w:iCs/>
          <w:i/>
        </w:rPr>
        <w:t xml:space="preserve"> </w:t>
      </w:r>
      <w:r>
        <w:rPr>
          <w:iCs/>
          <w:i/>
        </w:rPr>
        <w:t xml:space="preserve">pode pôr telefone ou morada?»</w:t>
      </w:r>
    </w:p>
    <w:bookmarkEnd w:id="27"/>
    <w:bookmarkEnd w:id="28"/>
    <w:bookmarkStart w:id="29" w:name="perguntas-finais-para-todos"/>
    <w:p>
      <w:pPr>
        <w:pStyle w:val="Heading1"/>
      </w:pPr>
      <w:r>
        <w:t xml:space="preserve">Perguntas finais (para todos)</w:t>
      </w:r>
    </w:p>
    <w:p>
      <w:pPr>
        <w:numPr>
          <w:ilvl w:val="0"/>
          <w:numId w:val="1011"/>
        </w:numPr>
        <w:pStyle w:val="Compact"/>
      </w:pPr>
      <w:r>
        <w:t xml:space="preserve">De 0 a 10, qual a probabilidade de usar a plataforma para orçamentar obras reais?</w:t>
      </w:r>
    </w:p>
    <w:p>
      <w:pPr>
        <w:numPr>
          <w:ilvl w:val="0"/>
          <w:numId w:val="1011"/>
        </w:numPr>
        <w:pStyle w:val="Compact"/>
      </w:pPr>
      <w:r>
        <w:t xml:space="preserve">O que o faria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usar?</w:t>
      </w:r>
    </w:p>
    <w:p>
      <w:pPr>
        <w:numPr>
          <w:ilvl w:val="0"/>
          <w:numId w:val="1011"/>
        </w:numPr>
        <w:pStyle w:val="Compact"/>
      </w:pPr>
      <w:r>
        <w:t xml:space="preserve">Há trabalhos, produtos ou termos que não encontrou?</w:t>
      </w:r>
    </w:p>
    <w:p>
      <w:pPr>
        <w:numPr>
          <w:ilvl w:val="0"/>
          <w:numId w:val="1011"/>
        </w:numPr>
        <w:pStyle w:val="Compact"/>
      </w:pPr>
      <w:r>
        <w:t xml:space="preserve">A comissão paga só se for escolhido e a obra for contratada: aceitável? (não mostrar valores; é matéria do</w:t>
      </w:r>
      <w:r>
        <w:t xml:space="preserve"> </w:t>
      </w:r>
      <w:r>
        <w:t xml:space="preserve">promotor)</w:t>
      </w:r>
    </w:p>
    <w:p>
      <w:pPr>
        <w:numPr>
          <w:ilvl w:val="0"/>
          <w:numId w:val="1011"/>
        </w:numPr>
        <w:pStyle w:val="Compact"/>
      </w:pPr>
      <w:r>
        <w:t xml:space="preserve">Quem do seu meio devia experimentar?</w:t>
      </w:r>
    </w:p>
    <w:bookmarkEnd w:id="29"/>
    <w:bookmarkStart w:id="30" w:name="para-registar-promotor"/>
    <w:p>
      <w:pPr>
        <w:pStyle w:val="Heading1"/>
      </w:pPr>
      <w:r>
        <w:t xml:space="preserve">Para registar (promotor)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no orçamento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hesitou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Erros ou bloqueios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Sugestões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(0–10)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Registar também: mensagens de erro exatas, ecrã e hora, para o Claude do código corrigir.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Quem Pinta — roteiro de teste para pintores</dc:title>
  <dc:creator/>
  <cp:keywords/>
  <dcterms:created xsi:type="dcterms:W3CDTF">2026-10-21T20:58:06Z</dcterms:created>
  <dcterms:modified xsi:type="dcterms:W3CDTF">2026-10-21T20:58:06Z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 de outubro de 2026</vt:lpwstr>
  </property>
  <property fmtid="{D5CDD505-2E9C-101B-9397-08002B2CF9AE}" pid="3" name="subtitle">
    <vt:lpwstr>Cerca de 45 minutos. Versão de teste: pagamentos em modo de teste, nada é real.</vt:lpwstr>
  </property>
</Properties>
</file>