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Describe the product objective, target users, and the regulatory context.</w:t>
      </w:r>
    </w:p>
    <w:p>
      <w:pPr>
        <w:pStyle w:val="Heading1"/>
      </w:pPr>
      <w:r>
        <w:t>Functional Requirements</w:t>
      </w:r>
    </w:p>
    <w:p>
      <w:r>
        <w:t>List the required workflow capabilities, reviewers, and audit controls.</w:t>
      </w:r>
    </w:p>
    <w:p>
      <w:pPr>
        <w:pStyle w:val="Heading1"/>
      </w:pPr>
      <w:r>
        <w:t>Non-Functional Requirements</w:t>
      </w:r>
    </w:p>
    <w:p>
      <w:r>
        <w:t>Specify security, performance, localization, and retention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