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Moniger Copilot</w:t>
      </w:r>
    </w:p>
    <w:p>
      <w:pPr>
        <w:jc w:val="center"/>
      </w:pPr>
      <w:r>
        <w:rPr>
          <w:color w:val="555555"/>
          <w:sz w:val="28"/>
        </w:rPr>
        <w:t>Statement of Work</w:t>
      </w:r>
    </w:p>
    <w:p>
      <w:r>
        <w:br w:type="page"/>
      </w:r>
    </w:p>
    <w:p>
      <w:r>
        <w:t>This Statement of Work (“SOW”) is a template covering the engagement to design, build, and deliver the Moniger Copilot feature described in Moniger_Copilot_Overview.docx and Moniger_Copilot_Engineering.docx. Bracketed fields are placeholders to be completed before signature — this document does not bind either party until they are filled in and both parties sign below.</w:t>
      </w:r>
    </w:p>
    <w:p>
      <w:pPr>
        <w:pStyle w:val="Heading1"/>
      </w:pPr>
      <w:r>
        <w:t>Parties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[Client / Company Legal Name]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[Contractor Legal Name]</w:t>
            </w:r>
          </w:p>
        </w:tc>
      </w:tr>
    </w:tbl>
    <w:p/>
    <w:p>
      <w:pPr>
        <w:pStyle w:val="Heading1"/>
      </w:pPr>
      <w:r>
        <w:t>Scope of Work</w:t>
      </w:r>
    </w:p>
    <w:p>
      <w:r>
        <w:t>Contractor will design, build, and deliver the Moniger Copilot service as specified in the accompanying Overview and Engineering documents, including:</w:t>
      </w:r>
    </w:p>
    <w:p>
      <w:pPr>
        <w:pStyle w:val="ListBullet"/>
      </w:pPr>
      <w:r>
        <w:t>The FastAPI /ask service (classification, gating, anonymisation, context building, model routing, caching, response parsing).</w:t>
      </w:r>
    </w:p>
    <w:p>
      <w:pPr>
        <w:pStyle w:val="ListBullet"/>
      </w:pPr>
      <w:r>
        <w:t>The five context builders (spending, income, tax, comparison, merchant) and associated prompt content.</w:t>
      </w:r>
    </w:p>
    <w:p>
      <w:pPr>
        <w:pStyle w:val="ListBullet"/>
      </w:pPr>
      <w:r>
        <w:t>Unit tests for the deterministic modules and a 20-item evaluation set for manual/scripted quality review.</w:t>
      </w:r>
    </w:p>
    <w:p>
      <w:pPr>
        <w:pStyle w:val="ListBullet"/>
      </w:pPr>
      <w:r>
        <w:t>Deployment configuration for both Railway and AWS Lambda.</w:t>
      </w:r>
    </w:p>
    <w:p>
      <w:pPr>
        <w:pStyle w:val="ListBullet"/>
      </w:pPr>
      <w:r>
        <w:t>Handover documentation (this Engineering doc and Overview doc).</w:t>
      </w:r>
    </w:p>
    <w:p>
      <w:pPr>
        <w:pStyle w:val="Heading1"/>
      </w:pPr>
      <w:r>
        <w:t>Timeline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Milestone</w:t>
            </w:r>
          </w:p>
        </w:tc>
      </w:tr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Architecture, data model, and prompt design signed off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Core pipeline implemented (classifier → anonymiser → context → router)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Caching, gating, and deployment configuration complete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Evaluation against the 20-question test set; fixes; handover</w:t>
            </w:r>
          </w:p>
        </w:tc>
      </w:tr>
    </w:tbl>
    <w:p/>
    <w:p>
      <w:r>
        <w:t>Dates: engagement runs from [Start Date] to [End Date] ([Total Duration]).</w:t>
      </w:r>
    </w:p>
    <w:p>
      <w:pPr>
        <w:pStyle w:val="Heading1"/>
      </w:pPr>
      <w:r>
        <w:t>Deliverables</w:t>
      </w:r>
    </w:p>
    <w:p>
      <w:pPr>
        <w:pStyle w:val="ListNumber"/>
      </w:pPr>
      <w:r>
        <w:t>Source code in the agreed repository, under the moniger-copilot/ structure.</w:t>
      </w:r>
    </w:p>
    <w:p>
      <w:pPr>
        <w:pStyle w:val="ListNumber"/>
      </w:pPr>
      <w:r>
        <w:t>Passing unit test suite (tests/test_classifier.py, test_anonymiser.py, test_gating.py).</w:t>
      </w:r>
    </w:p>
    <w:p>
      <w:pPr>
        <w:pStyle w:val="ListNumber"/>
      </w:pPr>
      <w:r>
        <w:t>Completed evaluation run against tests/eval/test_set.json with results documented.</w:t>
      </w:r>
    </w:p>
    <w:p>
      <w:pPr>
        <w:pStyle w:val="ListNumber"/>
      </w:pPr>
      <w:r>
        <w:t>Working deployment on at least one of the two supported targets (Railway or AWS Lambda), as agreed with Client.</w:t>
      </w:r>
    </w:p>
    <w:p>
      <w:pPr>
        <w:pStyle w:val="Heading1"/>
      </w:pPr>
      <w:r>
        <w:t>Fees &amp; Payment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Fee</w:t>
            </w:r>
          </w:p>
        </w:tc>
        <w:tc>
          <w:tcPr>
            <w:tcW w:type="dxa" w:w="4320"/>
          </w:tcPr>
          <w:p>
            <w:r>
              <w:t>[Amount and Currency]</w:t>
            </w:r>
          </w:p>
        </w:tc>
      </w:tr>
      <w:tr>
        <w:tc>
          <w:tcPr>
            <w:tcW w:type="dxa" w:w="4320"/>
          </w:tcPr>
          <w:p>
            <w:r>
              <w:t>Payment Schedule</w:t>
            </w:r>
          </w:p>
        </w:tc>
        <w:tc>
          <w:tcPr>
            <w:tcW w:type="dxa" w:w="4320"/>
          </w:tcPr>
          <w:p>
            <w:r>
              <w:t>[e.g. 50% on signature, 50% on final delivery]</w:t>
            </w:r>
          </w:p>
        </w:tc>
      </w:tr>
      <w:tr>
        <w:tc>
          <w:tcPr>
            <w:tcW w:type="dxa" w:w="4320"/>
          </w:tcPr>
          <w:p>
            <w:r>
              <w:t>Payment Method</w:t>
            </w:r>
          </w:p>
        </w:tc>
        <w:tc>
          <w:tcPr>
            <w:tcW w:type="dxa" w:w="4320"/>
          </w:tcPr>
          <w:p>
            <w:r>
              <w:t>[Bank transfer / other]</w:t>
            </w:r>
          </w:p>
        </w:tc>
      </w:tr>
    </w:tbl>
    <w:p/>
    <w:p>
      <w:pPr>
        <w:pStyle w:val="Heading1"/>
      </w:pPr>
      <w:r>
        <w:t>Third-Party Costs</w:t>
      </w:r>
    </w:p>
    <w:p>
      <w:r>
        <w:t>Anthropic API usage and Redis hosting costs incurred during development and testing are billed separately to [Client / Contractor] and are not included in the fee above unless stated otherwise.</w:t>
      </w:r>
    </w:p>
    <w:p>
      <w:pPr>
        <w:pStyle w:val="Heading1"/>
      </w:pPr>
      <w:r>
        <w:t>Data &amp; Confidentiality</w:t>
      </w:r>
    </w:p>
    <w:p>
      <w:r>
        <w:t>All transaction data used during development must be synthetic (see data/synthetic_transactions.json) unless Client explicitly provides anonymized real data with written authorization. Contractor will not retain Client user data beyond what is required to complete this engagement.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All unit tests pass.</w:t>
      </w:r>
    </w:p>
    <w:p>
      <w:pPr>
        <w:pStyle w:val="ListBullet"/>
      </w:pPr>
      <w:r>
        <w:t>The service correctly classifies and answers at least [Acceptance Threshold, e.g. 17/20] of the questions in tests/eval/test_set.json on manual review.</w:t>
      </w:r>
    </w:p>
    <w:p>
      <w:pPr>
        <w:pStyle w:val="ListBullet"/>
      </w:pPr>
      <w:r>
        <w:t>No real PII is observed in Redis cache contents or LLM request logs during review.</w:t>
      </w:r>
    </w:p>
    <w:p>
      <w:pPr>
        <w:pStyle w:val="Heading1"/>
      </w:pPr>
      <w:r>
        <w:t>Signatures</w:t>
      </w:r>
    </w:p>
    <w:p>
      <w:r>
        <w:t>Client: _______________________________   Date: ______________</w:t>
      </w:r>
    </w:p>
    <w:p>
      <w:r>
        <w:t>Contractor: ___________________________ 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