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32069" w14:textId="20ABA2AF" w:rsidR="00287246" w:rsidRPr="00890351" w:rsidRDefault="0057260F" w:rsidP="00BF3B8A">
      <w:pPr>
        <w:pStyle w:val="1"/>
        <w:spacing w:before="0" w:after="0" w:line="480" w:lineRule="auto"/>
        <w:rPr>
          <w:rFonts w:ascii="Times New Roman" w:hAnsi="Times New Roman"/>
          <w:i w:val="0"/>
          <w:noProof w:val="0"/>
          <w:sz w:val="24"/>
          <w:szCs w:val="24"/>
        </w:rPr>
      </w:pPr>
      <w:bookmarkStart w:id="0" w:name="_Toc162284722"/>
      <w:r>
        <w:rPr>
          <w:rFonts w:ascii="Times New Roman" w:hAnsi="Times New Roman"/>
          <w:i w:val="0"/>
          <w:noProof w:val="0"/>
          <w:sz w:val="24"/>
          <w:szCs w:val="24"/>
        </w:rPr>
        <w:t>Figure Captions</w:t>
      </w:r>
    </w:p>
    <w:p w14:paraId="0CDF1C10" w14:textId="77777777" w:rsidR="00287246" w:rsidRPr="00890351" w:rsidRDefault="00287246" w:rsidP="00BF3B8A">
      <w:pPr>
        <w:spacing w:after="0" w:line="480" w:lineRule="auto"/>
        <w:rPr>
          <w:noProof w:val="0"/>
          <w:szCs w:val="24"/>
        </w:rPr>
      </w:pPr>
      <w:bookmarkStart w:id="1" w:name="_GoBack"/>
    </w:p>
    <w:bookmarkEnd w:id="1"/>
    <w:p w14:paraId="76B1B2B2" w14:textId="77777777" w:rsidR="00DD5AAA" w:rsidRPr="0057260F" w:rsidRDefault="00CB3564" w:rsidP="00AA2862">
      <w:pPr>
        <w:pStyle w:val="1"/>
        <w:spacing w:before="0" w:after="0" w:line="480" w:lineRule="auto"/>
        <w:rPr>
          <w:rFonts w:ascii="Times New Roman" w:hAnsi="Times New Roman"/>
          <w:b/>
          <w:i w:val="0"/>
          <w:noProof w:val="0"/>
          <w:sz w:val="24"/>
          <w:szCs w:val="24"/>
        </w:rPr>
      </w:pPr>
      <w:r w:rsidRPr="0057260F">
        <w:rPr>
          <w:rFonts w:ascii="Times New Roman" w:hAnsi="Times New Roman"/>
          <w:b/>
          <w:i w:val="0"/>
          <w:noProof w:val="0"/>
          <w:sz w:val="24"/>
          <w:szCs w:val="24"/>
        </w:rPr>
        <w:t>Fig</w:t>
      </w:r>
      <w:r w:rsidR="00DD5AAA" w:rsidRPr="0057260F">
        <w:rPr>
          <w:rFonts w:ascii="Times New Roman" w:hAnsi="Times New Roman"/>
          <w:b/>
          <w:i w:val="0"/>
          <w:noProof w:val="0"/>
          <w:sz w:val="24"/>
          <w:szCs w:val="24"/>
        </w:rPr>
        <w:t>.</w:t>
      </w:r>
      <w:r w:rsidRPr="0057260F">
        <w:rPr>
          <w:rFonts w:ascii="Times New Roman" w:hAnsi="Times New Roman"/>
          <w:b/>
          <w:i w:val="0"/>
          <w:noProof w:val="0"/>
          <w:sz w:val="24"/>
          <w:szCs w:val="24"/>
        </w:rPr>
        <w:t xml:space="preserve"> 1</w:t>
      </w:r>
    </w:p>
    <w:p w14:paraId="664442F7" w14:textId="482D72EB" w:rsidR="00AA2862" w:rsidRPr="00890351" w:rsidRDefault="007E493B" w:rsidP="00AA2862">
      <w:pPr>
        <w:pStyle w:val="1"/>
        <w:spacing w:before="0" w:after="0" w:line="480" w:lineRule="auto"/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</w:pPr>
      <w:r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All analyzed</w:t>
      </w:r>
      <w:r w:rsidR="00AA2862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 data </w:t>
      </w:r>
      <w:r w:rsidR="00C1267E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were plotted with</w:t>
      </w:r>
      <w:r w:rsidR="00A143FA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 </w:t>
      </w:r>
      <w:r w:rsidR="00326B72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the </w:t>
      </w:r>
      <w:r w:rsidR="00A143FA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cardiac index (CI)</w:t>
      </w:r>
      <w:r w:rsidR="00C1267E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 on the horizontal axis and</w:t>
      </w:r>
      <w:r w:rsidR="00AA2862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 </w:t>
      </w:r>
      <w:r w:rsidR="00326B72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the </w:t>
      </w:r>
      <w:r w:rsidR="00A143FA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systemic vascular resistance index (</w:t>
      </w:r>
      <w:r w:rsidR="00AA2862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SVRI</w:t>
      </w:r>
      <w:r w:rsidR="00A143FA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)</w:t>
      </w:r>
      <w:r w:rsidR="00C1267E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 on</w:t>
      </w:r>
      <w:r w:rsidR="00AA2862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 the vertical axis. The </w:t>
      </w:r>
      <w:r w:rsidR="00B63E78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triangles</w:t>
      </w:r>
      <w:r w:rsidR="00AA2862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 </w:t>
      </w:r>
      <w:r w:rsidR="00036EA6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represent</w:t>
      </w:r>
      <w:r w:rsidR="00DC3E2E" w:rsidRPr="00890351">
        <w:rPr>
          <w:rFonts w:ascii="Times New Roman" w:hAnsi="Times New Roman"/>
          <w:i w:val="0"/>
          <w:noProof w:val="0"/>
          <w:sz w:val="24"/>
          <w:szCs w:val="24"/>
        </w:rPr>
        <w:t xml:space="preserve"> off-pump coronary artery bypass graft</w:t>
      </w:r>
      <w:r w:rsidR="00036EA6" w:rsidRPr="00890351">
        <w:rPr>
          <w:rFonts w:ascii="Times New Roman" w:hAnsi="Times New Roman"/>
          <w:i w:val="0"/>
          <w:noProof w:val="0"/>
          <w:sz w:val="24"/>
          <w:szCs w:val="24"/>
        </w:rPr>
        <w:t xml:space="preserve"> (</w:t>
      </w:r>
      <w:r w:rsidR="00AA2862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OPCAB</w:t>
      </w:r>
      <w:r w:rsidR="00036EA6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) cases</w:t>
      </w:r>
      <w:r w:rsidR="00AA2862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 and the circles</w:t>
      </w:r>
      <w:r w:rsidR="00036EA6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 represent</w:t>
      </w:r>
      <w:r w:rsidR="00036EA6" w:rsidRPr="00890351">
        <w:rPr>
          <w:rFonts w:ascii="Times New Roman" w:eastAsia="A-OTF UD新ゴNT Pr6N R" w:hAnsi="Times New Roman"/>
          <w:i w:val="0"/>
          <w:noProof w:val="0"/>
          <w:color w:val="000000"/>
          <w:sz w:val="24"/>
          <w:szCs w:val="24"/>
          <w:lang w:eastAsia="ja-JP" w:bidi="ar-SA"/>
        </w:rPr>
        <w:t xml:space="preserve"> </w:t>
      </w:r>
      <w:r w:rsidR="00036EA6" w:rsidRPr="00890351">
        <w:rPr>
          <w:rFonts w:ascii="Times New Roman" w:hAnsi="Times New Roman"/>
          <w:i w:val="0"/>
          <w:noProof w:val="0"/>
          <w:sz w:val="24"/>
          <w:szCs w:val="24"/>
        </w:rPr>
        <w:t>living-donor liver transplantation (</w:t>
      </w:r>
      <w:r w:rsidR="00AA2862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LDLT</w:t>
      </w:r>
      <w:r w:rsidR="00036EA6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) cases</w:t>
      </w:r>
      <w:r w:rsidR="00AA2862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. OPCAB demonstrated low CI and high SVRI, </w:t>
      </w:r>
      <w:r w:rsidR="00036EA6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whereas </w:t>
      </w:r>
      <w:r w:rsidR="00AA2862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LDLT demonstrated high CI and low SVRI. This indicates that the combination of</w:t>
      </w:r>
      <w:r w:rsidR="00036EA6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 the</w:t>
      </w:r>
      <w:r w:rsidR="00AA2862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 two types of surgical patients allowed verification of the devices using a broad range of CI and SVRI.</w:t>
      </w:r>
    </w:p>
    <w:p w14:paraId="63C9DD90" w14:textId="77777777" w:rsidR="00E54F0F" w:rsidRPr="00890351" w:rsidRDefault="00E54F0F" w:rsidP="00BF3B8A">
      <w:pPr>
        <w:spacing w:line="480" w:lineRule="auto"/>
      </w:pPr>
    </w:p>
    <w:p w14:paraId="2B202282" w14:textId="77777777" w:rsidR="00DD5AAA" w:rsidRPr="0057260F" w:rsidRDefault="00CB3564" w:rsidP="00AA2862">
      <w:pPr>
        <w:pStyle w:val="1"/>
        <w:spacing w:before="0" w:after="0" w:line="480" w:lineRule="auto"/>
        <w:rPr>
          <w:rFonts w:ascii="Times New Roman" w:hAnsi="Times New Roman"/>
          <w:b/>
          <w:i w:val="0"/>
          <w:noProof w:val="0"/>
          <w:sz w:val="24"/>
          <w:szCs w:val="24"/>
        </w:rPr>
      </w:pPr>
      <w:r w:rsidRPr="0057260F">
        <w:rPr>
          <w:rFonts w:ascii="Times New Roman" w:hAnsi="Times New Roman"/>
          <w:b/>
          <w:i w:val="0"/>
          <w:noProof w:val="0"/>
          <w:sz w:val="24"/>
          <w:szCs w:val="24"/>
        </w:rPr>
        <w:t>Fig</w:t>
      </w:r>
      <w:r w:rsidR="00DD5AAA" w:rsidRPr="0057260F">
        <w:rPr>
          <w:rFonts w:ascii="Times New Roman" w:hAnsi="Times New Roman"/>
          <w:b/>
          <w:i w:val="0"/>
          <w:noProof w:val="0"/>
          <w:sz w:val="24"/>
          <w:szCs w:val="24"/>
        </w:rPr>
        <w:t>.</w:t>
      </w:r>
      <w:r w:rsidRPr="0057260F">
        <w:rPr>
          <w:rFonts w:ascii="Times New Roman" w:hAnsi="Times New Roman"/>
          <w:b/>
          <w:i w:val="0"/>
          <w:noProof w:val="0"/>
          <w:sz w:val="24"/>
          <w:szCs w:val="24"/>
        </w:rPr>
        <w:t xml:space="preserve"> 2</w:t>
      </w:r>
    </w:p>
    <w:p w14:paraId="5245C35D" w14:textId="346240A0" w:rsidR="00457A3F" w:rsidRPr="00890351" w:rsidRDefault="00124F72" w:rsidP="00AA2862">
      <w:pPr>
        <w:pStyle w:val="1"/>
        <w:spacing w:before="0" w:after="0" w:line="480" w:lineRule="auto"/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</w:pPr>
      <w:r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The Bland</w:t>
      </w:r>
      <w:r w:rsidR="00F50022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–</w:t>
      </w:r>
      <w:r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Altman </w:t>
      </w:r>
      <w:r w:rsidR="007543BD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plot of </w:t>
      </w:r>
      <w:r w:rsidR="00DC3E2E" w:rsidRPr="00890351">
        <w:rPr>
          <w:rFonts w:ascii="Times New Roman" w:hAnsi="Times New Roman"/>
          <w:i w:val="0"/>
          <w:noProof w:val="0"/>
          <w:sz w:val="24"/>
          <w:szCs w:val="24"/>
        </w:rPr>
        <w:t>pulmonary artery catheter</w:t>
      </w:r>
      <w:r w:rsidR="00036EA6" w:rsidRPr="00890351">
        <w:rPr>
          <w:rFonts w:ascii="Times New Roman" w:hAnsi="Times New Roman"/>
          <w:i w:val="0"/>
          <w:noProof w:val="0"/>
          <w:sz w:val="24"/>
          <w:szCs w:val="24"/>
        </w:rPr>
        <w:t xml:space="preserve"> (PAC)</w:t>
      </w:r>
      <w:r w:rsidR="009120E5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-</w:t>
      </w:r>
      <w:r w:rsidR="00036EA6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measured cardiac index (PAC-</w:t>
      </w:r>
      <w:r w:rsidR="007543BD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CI</w:t>
      </w:r>
      <w:r w:rsidR="00036EA6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)</w:t>
      </w:r>
      <w:r w:rsidR="007543BD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 and </w:t>
      </w:r>
      <w:r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FloTrac/Vigileo</w:t>
      </w:r>
      <w:r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vertAlign w:val="superscript"/>
          <w:lang w:eastAsia="ja-JP"/>
        </w:rPr>
        <w:t>TM</w:t>
      </w:r>
      <w:r w:rsidR="00C1267E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-</w:t>
      </w:r>
      <w:r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derived CI</w:t>
      </w:r>
      <w:r w:rsidR="00FB4395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 (FT-CI).</w:t>
      </w:r>
      <w:r w:rsidR="00457A3F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 In line with th</w:t>
      </w:r>
      <w:r w:rsidR="007543BD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e increase in (PAC</w:t>
      </w:r>
      <w:r w:rsidR="009120E5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-</w:t>
      </w:r>
      <w:r w:rsidR="007543BD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CI + FT</w:t>
      </w:r>
      <w:r w:rsidR="009120E5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-</w:t>
      </w:r>
      <w:r w:rsidR="00C1267E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CI)/2</w:t>
      </w:r>
      <w:r w:rsidR="00AA2862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, </w:t>
      </w:r>
      <w:r w:rsidR="007543BD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FT</w:t>
      </w:r>
      <w:r w:rsidR="009120E5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-</w:t>
      </w:r>
      <w:r w:rsidR="00C1267E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CI was</w:t>
      </w:r>
      <w:r w:rsidR="00AA2862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 estimated</w:t>
      </w:r>
      <w:r w:rsidR="00C1267E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 to be</w:t>
      </w:r>
      <w:r w:rsidR="00AA2862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 higher than the actual value</w:t>
      </w:r>
      <w:r w:rsidR="00C1267E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 (R</w:t>
      </w:r>
      <w:r w:rsidR="00FB4395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 </w:t>
      </w:r>
      <w:r w:rsidR="00457A3F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=</w:t>
      </w:r>
      <w:r w:rsidR="00FB4395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 </w:t>
      </w:r>
      <w:r w:rsidR="00E32974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−</w:t>
      </w:r>
      <w:r w:rsidR="00457A3F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0.71)</w:t>
      </w:r>
      <w:r w:rsidR="00AA2862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.</w:t>
      </w:r>
      <w:r w:rsidR="00FB4395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 ULA = upper limits of agreement; LLA = lower limits of agreement; PE = percentage error.</w:t>
      </w:r>
    </w:p>
    <w:p w14:paraId="5964AFC2" w14:textId="77777777" w:rsidR="00457A3F" w:rsidRPr="00890351" w:rsidRDefault="00457A3F" w:rsidP="00AA2862">
      <w:pPr>
        <w:pStyle w:val="1"/>
        <w:spacing w:before="0" w:after="0" w:line="480" w:lineRule="auto"/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</w:pPr>
    </w:p>
    <w:p w14:paraId="684FD10F" w14:textId="77777777" w:rsidR="00DD5AAA" w:rsidRPr="0057260F" w:rsidRDefault="00457A3F" w:rsidP="008546F0">
      <w:pPr>
        <w:pStyle w:val="1"/>
        <w:spacing w:before="0" w:after="0" w:line="480" w:lineRule="auto"/>
        <w:rPr>
          <w:rFonts w:ascii="Times New Roman" w:eastAsia="A-OTF UD新ゴNT Pr6N R" w:hAnsi="Times New Roman"/>
          <w:b/>
          <w:i w:val="0"/>
          <w:noProof w:val="0"/>
          <w:sz w:val="24"/>
          <w:szCs w:val="24"/>
          <w:lang w:eastAsia="ja-JP"/>
        </w:rPr>
      </w:pPr>
      <w:r w:rsidRPr="0057260F">
        <w:rPr>
          <w:rFonts w:ascii="Times New Roman" w:eastAsia="A-OTF UD新ゴNT Pr6N R" w:hAnsi="Times New Roman"/>
          <w:b/>
          <w:i w:val="0"/>
          <w:noProof w:val="0"/>
          <w:sz w:val="24"/>
          <w:szCs w:val="24"/>
          <w:lang w:eastAsia="ja-JP"/>
        </w:rPr>
        <w:t>Fig</w:t>
      </w:r>
      <w:r w:rsidR="00DD5AAA" w:rsidRPr="0057260F">
        <w:rPr>
          <w:rFonts w:ascii="Times New Roman" w:eastAsia="A-OTF UD新ゴNT Pr6N R" w:hAnsi="Times New Roman"/>
          <w:b/>
          <w:i w:val="0"/>
          <w:noProof w:val="0"/>
          <w:sz w:val="24"/>
          <w:szCs w:val="24"/>
          <w:lang w:eastAsia="ja-JP"/>
        </w:rPr>
        <w:t>.</w:t>
      </w:r>
      <w:r w:rsidRPr="0057260F">
        <w:rPr>
          <w:rFonts w:ascii="Times New Roman" w:eastAsia="A-OTF UD新ゴNT Pr6N R" w:hAnsi="Times New Roman"/>
          <w:b/>
          <w:i w:val="0"/>
          <w:noProof w:val="0"/>
          <w:sz w:val="24"/>
          <w:szCs w:val="24"/>
          <w:lang w:eastAsia="ja-JP"/>
        </w:rPr>
        <w:t xml:space="preserve"> 3</w:t>
      </w:r>
    </w:p>
    <w:p w14:paraId="06B791AD" w14:textId="722DA070" w:rsidR="00AA2862" w:rsidRPr="00890351" w:rsidRDefault="00457A3F" w:rsidP="008546F0">
      <w:pPr>
        <w:pStyle w:val="1"/>
        <w:spacing w:before="0" w:after="0" w:line="480" w:lineRule="auto"/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</w:pPr>
      <w:r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The Bland</w:t>
      </w:r>
      <w:r w:rsidR="00F50022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–</w:t>
      </w:r>
      <w:r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Altman plot of </w:t>
      </w:r>
      <w:r w:rsidR="00FB4395" w:rsidRPr="00890351">
        <w:rPr>
          <w:rFonts w:ascii="Times New Roman" w:hAnsi="Times New Roman"/>
          <w:i w:val="0"/>
          <w:noProof w:val="0"/>
          <w:sz w:val="24"/>
          <w:szCs w:val="24"/>
        </w:rPr>
        <w:t>pulmonary artery catheter (PAC)</w:t>
      </w:r>
      <w:r w:rsidR="00FB4395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-measured cardiac index (PAC-CI)</w:t>
      </w:r>
      <w:r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 and LiDCOrapid</w:t>
      </w:r>
      <w:r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vertAlign w:val="superscript"/>
          <w:lang w:eastAsia="ja-JP"/>
        </w:rPr>
        <w:t>TM</w:t>
      </w:r>
      <w:r w:rsidR="00C1267E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-</w:t>
      </w:r>
      <w:r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derived CI</w:t>
      </w:r>
      <w:r w:rsidR="00FB4395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 (LiD-CI)</w:t>
      </w:r>
      <w:r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. The</w:t>
      </w:r>
      <w:r w:rsidR="00FB4395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re was a</w:t>
      </w:r>
      <w:r w:rsidR="00AA2862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 tendency </w:t>
      </w:r>
      <w:r w:rsidR="00C1267E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for</w:t>
      </w:r>
      <w:r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 overestimation when the increase of (PAC</w:t>
      </w:r>
      <w:r w:rsidR="009120E5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-</w:t>
      </w:r>
      <w:r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CI + </w:t>
      </w:r>
      <w:r w:rsidR="00C1267E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LiD</w:t>
      </w:r>
      <w:r w:rsidR="009120E5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-</w:t>
      </w:r>
      <w:r w:rsidR="00C1267E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CI)/2 was</w:t>
      </w:r>
      <w:r w:rsidR="00AA2862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 less </w:t>
      </w:r>
      <w:r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than</w:t>
      </w:r>
      <w:r w:rsidR="00C1267E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 </w:t>
      </w:r>
      <w:r w:rsidR="00FB4395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that </w:t>
      </w:r>
      <w:r w:rsidR="00C1267E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for</w:t>
      </w:r>
      <w:r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 FloTrac/Vigileo</w:t>
      </w:r>
      <w:r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vertAlign w:val="superscript"/>
          <w:lang w:eastAsia="ja-JP"/>
        </w:rPr>
        <w:t>TM</w:t>
      </w:r>
      <w:r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.</w:t>
      </w:r>
      <w:r w:rsidR="00AA2862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 LiDCOrapid</w:t>
      </w:r>
      <w:r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vertAlign w:val="superscript"/>
          <w:lang w:eastAsia="ja-JP"/>
        </w:rPr>
        <w:t>TM</w:t>
      </w:r>
      <w:r w:rsidR="00C1267E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 also had</w:t>
      </w:r>
      <w:r w:rsidR="00AA2862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 a smaller percentage error.</w:t>
      </w:r>
      <w:r w:rsidR="00FB4395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 ULA = upper limits of agreement; LLA = lower limits of agreement; PE = percentage error.</w:t>
      </w:r>
    </w:p>
    <w:p w14:paraId="4B5C586A" w14:textId="77777777" w:rsidR="00E54F0F" w:rsidRPr="00890351" w:rsidRDefault="00E54F0F" w:rsidP="00BF3B8A">
      <w:pPr>
        <w:spacing w:line="480" w:lineRule="auto"/>
      </w:pPr>
    </w:p>
    <w:p w14:paraId="44B8A864" w14:textId="77777777" w:rsidR="00DD5AAA" w:rsidRPr="0057260F" w:rsidRDefault="00457A3F" w:rsidP="00AA2862">
      <w:pPr>
        <w:pStyle w:val="1"/>
        <w:spacing w:before="0" w:after="0" w:line="480" w:lineRule="auto"/>
        <w:rPr>
          <w:rFonts w:ascii="Times New Roman" w:hAnsi="Times New Roman"/>
          <w:b/>
          <w:i w:val="0"/>
          <w:noProof w:val="0"/>
          <w:sz w:val="24"/>
          <w:szCs w:val="24"/>
        </w:rPr>
      </w:pPr>
      <w:r w:rsidRPr="0057260F">
        <w:rPr>
          <w:rFonts w:ascii="Times New Roman" w:hAnsi="Times New Roman"/>
          <w:b/>
          <w:i w:val="0"/>
          <w:noProof w:val="0"/>
          <w:sz w:val="24"/>
          <w:szCs w:val="24"/>
        </w:rPr>
        <w:lastRenderedPageBreak/>
        <w:t>Fig</w:t>
      </w:r>
      <w:r w:rsidR="00DD5AAA" w:rsidRPr="0057260F">
        <w:rPr>
          <w:rFonts w:ascii="Times New Roman" w:hAnsi="Times New Roman"/>
          <w:b/>
          <w:i w:val="0"/>
          <w:noProof w:val="0"/>
          <w:sz w:val="24"/>
          <w:szCs w:val="24"/>
        </w:rPr>
        <w:t>.</w:t>
      </w:r>
      <w:r w:rsidRPr="0057260F">
        <w:rPr>
          <w:rFonts w:ascii="Times New Roman" w:hAnsi="Times New Roman"/>
          <w:b/>
          <w:i w:val="0"/>
          <w:noProof w:val="0"/>
          <w:sz w:val="24"/>
          <w:szCs w:val="24"/>
        </w:rPr>
        <w:t xml:space="preserve"> 4</w:t>
      </w:r>
    </w:p>
    <w:p w14:paraId="30B8A7AF" w14:textId="7B20EC40" w:rsidR="00E12892" w:rsidRPr="00890351" w:rsidRDefault="00C1267E" w:rsidP="00AA2862">
      <w:pPr>
        <w:pStyle w:val="1"/>
        <w:spacing w:before="0" w:after="0" w:line="480" w:lineRule="auto"/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</w:pPr>
      <w:r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The t</w:t>
      </w:r>
      <w:r w:rsidR="00AA2862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rending ability </w:t>
      </w:r>
      <w:r w:rsidR="00E12892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for FloTrac/Vigileo</w:t>
      </w:r>
      <w:r w:rsidR="00E12892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vertAlign w:val="superscript"/>
          <w:lang w:eastAsia="ja-JP"/>
        </w:rPr>
        <w:t>TM</w:t>
      </w:r>
      <w:r w:rsidR="00E12892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 </w:t>
      </w:r>
      <w:r w:rsidR="00AA2862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was also evaluated by </w:t>
      </w:r>
      <w:r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the </w:t>
      </w:r>
      <w:r w:rsidR="00AA2862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polar</w:t>
      </w:r>
      <w:r w:rsidR="00E12892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 plot</w:t>
      </w:r>
      <w:r w:rsidR="00AA2862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 </w:t>
      </w:r>
      <w:r w:rsidR="00E12892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method</w:t>
      </w:r>
      <w:r w:rsidR="008A130D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 (n = 93)</w:t>
      </w:r>
      <w:r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. The cut</w:t>
      </w:r>
      <w:r w:rsidR="00AA2862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off value was 0.5 L/min/m</w:t>
      </w:r>
      <w:r w:rsidR="00AA2862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vertAlign w:val="superscript"/>
          <w:lang w:eastAsia="ja-JP"/>
        </w:rPr>
        <w:t>2</w:t>
      </w:r>
      <w:r w:rsidR="00AA2862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.</w:t>
      </w:r>
      <w:r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 The angular bias was</w:t>
      </w:r>
      <w:r w:rsidR="005E02B2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 8.1</w:t>
      </w:r>
      <w:r w:rsidR="00FB4395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°</w:t>
      </w:r>
      <w:r w:rsidR="005E02B2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, and th</w:t>
      </w:r>
      <w:r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e angular limits of agreement were</w:t>
      </w:r>
      <w:r w:rsidR="005E02B2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 from </w:t>
      </w:r>
      <w:r w:rsidR="00E32974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−</w:t>
      </w:r>
      <w:r w:rsidR="005E02B2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61.0</w:t>
      </w:r>
      <w:r w:rsidR="00FB4395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°</w:t>
      </w:r>
      <w:r w:rsidR="005E02B2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 to 77.1</w:t>
      </w:r>
      <w:r w:rsidR="00FB4395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°</w:t>
      </w:r>
      <w:r w:rsidR="005E02B2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.</w:t>
      </w:r>
    </w:p>
    <w:p w14:paraId="3705C1DC" w14:textId="77777777" w:rsidR="00E12892" w:rsidRPr="00890351" w:rsidRDefault="00E12892" w:rsidP="00AA2862">
      <w:pPr>
        <w:pStyle w:val="1"/>
        <w:spacing w:before="0" w:after="0" w:line="480" w:lineRule="auto"/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</w:pPr>
    </w:p>
    <w:p w14:paraId="1BDCF9B5" w14:textId="77777777" w:rsidR="00DD5AAA" w:rsidRPr="0057260F" w:rsidRDefault="002D412C" w:rsidP="00AA2862">
      <w:pPr>
        <w:pStyle w:val="1"/>
        <w:spacing w:before="0" w:after="0" w:line="480" w:lineRule="auto"/>
        <w:rPr>
          <w:rFonts w:ascii="Times New Roman" w:eastAsia="A-OTF UD新ゴNT Pr6N R" w:hAnsi="Times New Roman"/>
          <w:b/>
          <w:i w:val="0"/>
          <w:noProof w:val="0"/>
          <w:sz w:val="24"/>
          <w:szCs w:val="24"/>
          <w:lang w:eastAsia="ja-JP"/>
        </w:rPr>
      </w:pPr>
      <w:r w:rsidRPr="0057260F">
        <w:rPr>
          <w:rFonts w:ascii="Times New Roman" w:eastAsia="A-OTF UD新ゴNT Pr6N R" w:hAnsi="Times New Roman"/>
          <w:b/>
          <w:i w:val="0"/>
          <w:noProof w:val="0"/>
          <w:sz w:val="24"/>
          <w:szCs w:val="24"/>
          <w:lang w:eastAsia="ja-JP"/>
        </w:rPr>
        <w:t>Fig</w:t>
      </w:r>
      <w:r w:rsidR="00DD5AAA" w:rsidRPr="0057260F">
        <w:rPr>
          <w:rFonts w:ascii="Times New Roman" w:eastAsia="A-OTF UD新ゴNT Pr6N R" w:hAnsi="Times New Roman"/>
          <w:b/>
          <w:i w:val="0"/>
          <w:noProof w:val="0"/>
          <w:sz w:val="24"/>
          <w:szCs w:val="24"/>
          <w:lang w:eastAsia="ja-JP"/>
        </w:rPr>
        <w:t xml:space="preserve">. </w:t>
      </w:r>
      <w:r w:rsidRPr="0057260F">
        <w:rPr>
          <w:rFonts w:ascii="Times New Roman" w:eastAsia="A-OTF UD新ゴNT Pr6N R" w:hAnsi="Times New Roman"/>
          <w:b/>
          <w:i w:val="0"/>
          <w:noProof w:val="0"/>
          <w:sz w:val="24"/>
          <w:szCs w:val="24"/>
          <w:lang w:eastAsia="ja-JP"/>
        </w:rPr>
        <w:t>5</w:t>
      </w:r>
    </w:p>
    <w:p w14:paraId="3C026B49" w14:textId="7FFF7E7F" w:rsidR="007E2C84" w:rsidRPr="00DD5AAA" w:rsidRDefault="005E02B2" w:rsidP="00DD5AAA">
      <w:pPr>
        <w:pStyle w:val="1"/>
        <w:spacing w:before="0" w:after="0" w:line="480" w:lineRule="auto"/>
        <w:rPr>
          <w:rFonts w:ascii="Times New Roman" w:hAnsi="Times New Roman"/>
          <w:noProof w:val="0"/>
          <w:sz w:val="24"/>
          <w:szCs w:val="24"/>
          <w:lang w:eastAsia="ja-JP"/>
        </w:rPr>
      </w:pPr>
      <w:r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The polar plot method for LiDCOrapid</w:t>
      </w:r>
      <w:r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vertAlign w:val="superscript"/>
          <w:lang w:eastAsia="ja-JP"/>
        </w:rPr>
        <w:t>TM</w:t>
      </w:r>
      <w:r w:rsidR="008A130D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 (n = 88).</w:t>
      </w:r>
      <w:r w:rsidR="00AA2862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 </w:t>
      </w:r>
      <w:r w:rsidR="00C1267E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The angular bias was</w:t>
      </w:r>
      <w:r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 6.0</w:t>
      </w:r>
      <w:r w:rsidR="00FB4395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°</w:t>
      </w:r>
      <w:r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, and th</w:t>
      </w:r>
      <w:r w:rsidR="00C1267E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e angular limits of agreement were</w:t>
      </w:r>
      <w:r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 from </w:t>
      </w:r>
      <w:r w:rsidR="00E32974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−</w:t>
      </w:r>
      <w:r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36.1</w:t>
      </w:r>
      <w:r w:rsidR="00FB4395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°</w:t>
      </w:r>
      <w:r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 to 48.0</w:t>
      </w:r>
      <w:r w:rsidR="00FB4395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°</w:t>
      </w:r>
      <w:r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. </w:t>
      </w:r>
      <w:r w:rsidR="00AA2862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LiDCOrapid</w:t>
      </w:r>
      <w:r w:rsidR="00AA2862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vertAlign w:val="superscript"/>
          <w:lang w:eastAsia="ja-JP"/>
        </w:rPr>
        <w:t>TM</w:t>
      </w:r>
      <w:r w:rsidR="00C1267E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 demonstrated</w:t>
      </w:r>
      <w:r w:rsidR="00AA2862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 </w:t>
      </w:r>
      <w:r w:rsidR="00C1267E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a </w:t>
      </w:r>
      <w:r w:rsidR="00AA2862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better t</w:t>
      </w:r>
      <w:r w:rsidR="00333749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rending ability</w:t>
      </w:r>
      <w:r w:rsidR="00FB4395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 xml:space="preserve"> than </w:t>
      </w:r>
      <w:proofErr w:type="spellStart"/>
      <w:r w:rsidR="00FB4395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FloTrac</w:t>
      </w:r>
      <w:proofErr w:type="spellEnd"/>
      <w:r w:rsidR="00FB4395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/</w:t>
      </w:r>
      <w:proofErr w:type="spellStart"/>
      <w:r w:rsidR="00FB4395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Vigileo</w:t>
      </w:r>
      <w:r w:rsidR="00FB4395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vertAlign w:val="superscript"/>
          <w:lang w:eastAsia="ja-JP"/>
        </w:rPr>
        <w:t>TM</w:t>
      </w:r>
      <w:proofErr w:type="spellEnd"/>
      <w:r w:rsidR="00E12892" w:rsidRPr="00890351">
        <w:rPr>
          <w:rFonts w:ascii="Times New Roman" w:eastAsia="A-OTF UD新ゴNT Pr6N R" w:hAnsi="Times New Roman"/>
          <w:i w:val="0"/>
          <w:noProof w:val="0"/>
          <w:sz w:val="24"/>
          <w:szCs w:val="24"/>
          <w:lang w:eastAsia="ja-JP"/>
        </w:rPr>
        <w:t>.</w:t>
      </w:r>
      <w:bookmarkEnd w:id="0"/>
      <w:r w:rsidR="00DD5AAA" w:rsidRPr="004C5E47">
        <w:rPr>
          <w:noProof w:val="0"/>
          <w:szCs w:val="24"/>
        </w:rPr>
        <w:t xml:space="preserve"> </w:t>
      </w:r>
    </w:p>
    <w:p w14:paraId="43DA95E1" w14:textId="32F1AAD6" w:rsidR="00287246" w:rsidRPr="004C5E47" w:rsidRDefault="00287246" w:rsidP="00BF3B8A">
      <w:pPr>
        <w:spacing w:after="0" w:line="480" w:lineRule="auto"/>
        <w:rPr>
          <w:noProof w:val="0"/>
          <w:szCs w:val="24"/>
        </w:rPr>
      </w:pPr>
    </w:p>
    <w:sectPr w:rsidR="00287246" w:rsidRPr="004C5E47" w:rsidSect="00C00117">
      <w:footerReference w:type="default" r:id="rId8"/>
      <w:pgSz w:w="12240" w:h="15840" w:code="1"/>
      <w:pgMar w:top="1440" w:right="1440" w:bottom="144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2AC471" w14:textId="77777777" w:rsidR="00D141F9" w:rsidRDefault="00D141F9">
      <w:r>
        <w:separator/>
      </w:r>
    </w:p>
    <w:p w14:paraId="20BF0463" w14:textId="77777777" w:rsidR="00D141F9" w:rsidRDefault="00D141F9"/>
  </w:endnote>
  <w:endnote w:type="continuationSeparator" w:id="0">
    <w:p w14:paraId="421ACCF5" w14:textId="77777777" w:rsidR="00D141F9" w:rsidRDefault="00D141F9">
      <w:r>
        <w:continuationSeparator/>
      </w:r>
    </w:p>
    <w:p w14:paraId="1935A055" w14:textId="77777777" w:rsidR="00D141F9" w:rsidRDefault="00D141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-OTF UD新ゴNT Pr6N R">
    <w:charset w:val="80"/>
    <w:family w:val="auto"/>
    <w:pitch w:val="variable"/>
    <w:sig w:usb0="000002D7" w:usb1="2AC71C11" w:usb2="00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7FA29A" w14:textId="77777777" w:rsidR="00CE13C5" w:rsidRDefault="00CE13C5">
    <w:pPr>
      <w:pStyle w:val="ab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63E78"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B63E78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98898B" w14:textId="77777777" w:rsidR="00D141F9" w:rsidRDefault="00D141F9">
      <w:r>
        <w:separator/>
      </w:r>
    </w:p>
    <w:p w14:paraId="09E16062" w14:textId="77777777" w:rsidR="00D141F9" w:rsidRDefault="00D141F9"/>
  </w:footnote>
  <w:footnote w:type="continuationSeparator" w:id="0">
    <w:p w14:paraId="4991F30F" w14:textId="77777777" w:rsidR="00D141F9" w:rsidRDefault="00D141F9">
      <w:r>
        <w:continuationSeparator/>
      </w:r>
    </w:p>
    <w:p w14:paraId="7F2668FA" w14:textId="77777777" w:rsidR="00D141F9" w:rsidRDefault="00D141F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3B421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2AE201A"/>
    <w:multiLevelType w:val="multilevel"/>
    <w:tmpl w:val="7CF0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6241F2"/>
    <w:multiLevelType w:val="hybridMultilevel"/>
    <w:tmpl w:val="B8287D1A"/>
    <w:lvl w:ilvl="0" w:tplc="BD6C7084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8E693C"/>
    <w:multiLevelType w:val="hybridMultilevel"/>
    <w:tmpl w:val="1034ED60"/>
    <w:lvl w:ilvl="0" w:tplc="9B78D7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8FD0963"/>
    <w:multiLevelType w:val="multilevel"/>
    <w:tmpl w:val="A658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180713"/>
    <w:multiLevelType w:val="multilevel"/>
    <w:tmpl w:val="1A72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4E7BCF"/>
    <w:multiLevelType w:val="hybridMultilevel"/>
    <w:tmpl w:val="0B42483C"/>
    <w:lvl w:ilvl="0" w:tplc="6672B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3E46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CA877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F02A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ECCE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AC1C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E28D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5830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C7A8F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A014AE0"/>
    <w:multiLevelType w:val="hybridMultilevel"/>
    <w:tmpl w:val="7ADA59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65F3F7A"/>
    <w:multiLevelType w:val="multilevel"/>
    <w:tmpl w:val="F6E8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CB5731"/>
    <w:multiLevelType w:val="hybridMultilevel"/>
    <w:tmpl w:val="1A7A00E4"/>
    <w:lvl w:ilvl="0" w:tplc="24DC5A8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0"/>
  </w:num>
  <w:num w:numId="10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bordersDoNotSurroundHeader/>
  <w:bordersDoNotSurroundFooter/>
  <w:proofState w:spelling="clean" w:grammar="clean"/>
  <w:defaultTabStop w:val="432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pringerBasicNumber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xfzpptew2x5x5etdv0xaef6w0ztsdrws50z&quot;&gt;My EndNote Library&lt;record-ids&gt;&lt;item&gt;2&lt;/item&gt;&lt;item&gt;92&lt;/item&gt;&lt;item&gt;112&lt;/item&gt;&lt;item&gt;137&lt;/item&gt;&lt;item&gt;139&lt;/item&gt;&lt;item&gt;140&lt;/item&gt;&lt;item&gt;141&lt;/item&gt;&lt;item&gt;142&lt;/item&gt;&lt;item&gt;143&lt;/item&gt;&lt;item&gt;144&lt;/item&gt;&lt;item&gt;145&lt;/item&gt;&lt;item&gt;146&lt;/item&gt;&lt;item&gt;147&lt;/item&gt;&lt;item&gt;148&lt;/item&gt;&lt;item&gt;149&lt;/item&gt;&lt;item&gt;150&lt;/item&gt;&lt;/record-ids&gt;&lt;/item&gt;&lt;/Libraries&gt;"/>
  </w:docVars>
  <w:rsids>
    <w:rsidRoot w:val="00D603D8"/>
    <w:rsid w:val="00001AF1"/>
    <w:rsid w:val="00017CB7"/>
    <w:rsid w:val="0002213A"/>
    <w:rsid w:val="00022D1E"/>
    <w:rsid w:val="00036055"/>
    <w:rsid w:val="0003672B"/>
    <w:rsid w:val="00036E53"/>
    <w:rsid w:val="00036E6E"/>
    <w:rsid w:val="00036EA6"/>
    <w:rsid w:val="00041D7B"/>
    <w:rsid w:val="0005723A"/>
    <w:rsid w:val="000644AA"/>
    <w:rsid w:val="0007109F"/>
    <w:rsid w:val="00072231"/>
    <w:rsid w:val="00076B88"/>
    <w:rsid w:val="00093276"/>
    <w:rsid w:val="000948A8"/>
    <w:rsid w:val="000A2CC1"/>
    <w:rsid w:val="000A3AAB"/>
    <w:rsid w:val="000B57A3"/>
    <w:rsid w:val="000B719D"/>
    <w:rsid w:val="000E63FC"/>
    <w:rsid w:val="000E69A1"/>
    <w:rsid w:val="000F4A9B"/>
    <w:rsid w:val="000F7A3C"/>
    <w:rsid w:val="0010422D"/>
    <w:rsid w:val="001140D4"/>
    <w:rsid w:val="0011518F"/>
    <w:rsid w:val="00121649"/>
    <w:rsid w:val="001223E3"/>
    <w:rsid w:val="0012453A"/>
    <w:rsid w:val="00124F72"/>
    <w:rsid w:val="00132D92"/>
    <w:rsid w:val="001403D7"/>
    <w:rsid w:val="001453CB"/>
    <w:rsid w:val="00153C65"/>
    <w:rsid w:val="00153E51"/>
    <w:rsid w:val="00156DD9"/>
    <w:rsid w:val="00160383"/>
    <w:rsid w:val="00173231"/>
    <w:rsid w:val="001874F2"/>
    <w:rsid w:val="0019734C"/>
    <w:rsid w:val="001A3A14"/>
    <w:rsid w:val="001B1131"/>
    <w:rsid w:val="001B5FE6"/>
    <w:rsid w:val="001B62C9"/>
    <w:rsid w:val="001C2263"/>
    <w:rsid w:val="001E104C"/>
    <w:rsid w:val="00202674"/>
    <w:rsid w:val="00205D16"/>
    <w:rsid w:val="002220C1"/>
    <w:rsid w:val="00224B8C"/>
    <w:rsid w:val="00230806"/>
    <w:rsid w:val="00232CB4"/>
    <w:rsid w:val="00255B14"/>
    <w:rsid w:val="00271624"/>
    <w:rsid w:val="00287246"/>
    <w:rsid w:val="002A75F4"/>
    <w:rsid w:val="002C1573"/>
    <w:rsid w:val="002C5A3F"/>
    <w:rsid w:val="002D412C"/>
    <w:rsid w:val="002E403D"/>
    <w:rsid w:val="002F0845"/>
    <w:rsid w:val="002F2033"/>
    <w:rsid w:val="002F487E"/>
    <w:rsid w:val="002F723D"/>
    <w:rsid w:val="002F78DE"/>
    <w:rsid w:val="00300C27"/>
    <w:rsid w:val="00303A35"/>
    <w:rsid w:val="00303CB7"/>
    <w:rsid w:val="00315CD1"/>
    <w:rsid w:val="003205FE"/>
    <w:rsid w:val="00321156"/>
    <w:rsid w:val="0032431C"/>
    <w:rsid w:val="00326B72"/>
    <w:rsid w:val="00333749"/>
    <w:rsid w:val="00334BE2"/>
    <w:rsid w:val="00336F94"/>
    <w:rsid w:val="00343004"/>
    <w:rsid w:val="00347BDB"/>
    <w:rsid w:val="0036013A"/>
    <w:rsid w:val="003631C5"/>
    <w:rsid w:val="003809A0"/>
    <w:rsid w:val="00381FE0"/>
    <w:rsid w:val="003841E2"/>
    <w:rsid w:val="00387B39"/>
    <w:rsid w:val="003A2795"/>
    <w:rsid w:val="003A69C0"/>
    <w:rsid w:val="003E6190"/>
    <w:rsid w:val="004025F3"/>
    <w:rsid w:val="004034FF"/>
    <w:rsid w:val="00404D89"/>
    <w:rsid w:val="0041200F"/>
    <w:rsid w:val="004121BA"/>
    <w:rsid w:val="00413183"/>
    <w:rsid w:val="00417EFF"/>
    <w:rsid w:val="00424780"/>
    <w:rsid w:val="004478BF"/>
    <w:rsid w:val="00451765"/>
    <w:rsid w:val="00457A3F"/>
    <w:rsid w:val="004632AF"/>
    <w:rsid w:val="00470D9F"/>
    <w:rsid w:val="00470F42"/>
    <w:rsid w:val="00471EBB"/>
    <w:rsid w:val="00473FB9"/>
    <w:rsid w:val="004770D1"/>
    <w:rsid w:val="004774C3"/>
    <w:rsid w:val="00480506"/>
    <w:rsid w:val="004805D1"/>
    <w:rsid w:val="004832C8"/>
    <w:rsid w:val="00484493"/>
    <w:rsid w:val="00491180"/>
    <w:rsid w:val="004A2C68"/>
    <w:rsid w:val="004A2F90"/>
    <w:rsid w:val="004C5E47"/>
    <w:rsid w:val="004D2D79"/>
    <w:rsid w:val="004E5710"/>
    <w:rsid w:val="004E5C3A"/>
    <w:rsid w:val="004F0D46"/>
    <w:rsid w:val="004F16EA"/>
    <w:rsid w:val="004F482F"/>
    <w:rsid w:val="00521895"/>
    <w:rsid w:val="00523CF3"/>
    <w:rsid w:val="00524481"/>
    <w:rsid w:val="00540A6A"/>
    <w:rsid w:val="00544055"/>
    <w:rsid w:val="00547B8F"/>
    <w:rsid w:val="00552760"/>
    <w:rsid w:val="005540A8"/>
    <w:rsid w:val="00560016"/>
    <w:rsid w:val="005628D1"/>
    <w:rsid w:val="005661D1"/>
    <w:rsid w:val="0057260F"/>
    <w:rsid w:val="0058068F"/>
    <w:rsid w:val="005863A2"/>
    <w:rsid w:val="00587A81"/>
    <w:rsid w:val="00597F42"/>
    <w:rsid w:val="005A36A8"/>
    <w:rsid w:val="005C78AD"/>
    <w:rsid w:val="005E02B2"/>
    <w:rsid w:val="005E0DD3"/>
    <w:rsid w:val="005E1D9F"/>
    <w:rsid w:val="005E3389"/>
    <w:rsid w:val="005E500D"/>
    <w:rsid w:val="005F3CD7"/>
    <w:rsid w:val="006017F0"/>
    <w:rsid w:val="00604ABE"/>
    <w:rsid w:val="00612F77"/>
    <w:rsid w:val="006143C4"/>
    <w:rsid w:val="00632543"/>
    <w:rsid w:val="00632D7F"/>
    <w:rsid w:val="006500DB"/>
    <w:rsid w:val="0065039B"/>
    <w:rsid w:val="00653C33"/>
    <w:rsid w:val="00663037"/>
    <w:rsid w:val="00694529"/>
    <w:rsid w:val="00696DF3"/>
    <w:rsid w:val="006A169A"/>
    <w:rsid w:val="006A390B"/>
    <w:rsid w:val="006B50E2"/>
    <w:rsid w:val="006B79DA"/>
    <w:rsid w:val="006C3FAC"/>
    <w:rsid w:val="006D7542"/>
    <w:rsid w:val="006F2F05"/>
    <w:rsid w:val="006F6448"/>
    <w:rsid w:val="00700C7F"/>
    <w:rsid w:val="0071224A"/>
    <w:rsid w:val="007122A2"/>
    <w:rsid w:val="00723D1E"/>
    <w:rsid w:val="00725FC1"/>
    <w:rsid w:val="00730E2F"/>
    <w:rsid w:val="0073401D"/>
    <w:rsid w:val="00737397"/>
    <w:rsid w:val="00746754"/>
    <w:rsid w:val="00753C46"/>
    <w:rsid w:val="007543BD"/>
    <w:rsid w:val="00756A6A"/>
    <w:rsid w:val="0075773E"/>
    <w:rsid w:val="007638C6"/>
    <w:rsid w:val="007737C1"/>
    <w:rsid w:val="007742ED"/>
    <w:rsid w:val="00781F60"/>
    <w:rsid w:val="00784FA0"/>
    <w:rsid w:val="00786CBF"/>
    <w:rsid w:val="00795B13"/>
    <w:rsid w:val="00795CA0"/>
    <w:rsid w:val="007A1483"/>
    <w:rsid w:val="007A2F2A"/>
    <w:rsid w:val="007A318F"/>
    <w:rsid w:val="007A6179"/>
    <w:rsid w:val="007A7457"/>
    <w:rsid w:val="007B6EB4"/>
    <w:rsid w:val="007C3FBD"/>
    <w:rsid w:val="007D1966"/>
    <w:rsid w:val="007E1F09"/>
    <w:rsid w:val="007E2C84"/>
    <w:rsid w:val="007E493B"/>
    <w:rsid w:val="007E5848"/>
    <w:rsid w:val="007F158B"/>
    <w:rsid w:val="007F2D27"/>
    <w:rsid w:val="007F721C"/>
    <w:rsid w:val="0080320F"/>
    <w:rsid w:val="00806F23"/>
    <w:rsid w:val="00814A40"/>
    <w:rsid w:val="008168D1"/>
    <w:rsid w:val="00816D5D"/>
    <w:rsid w:val="00824A43"/>
    <w:rsid w:val="00833030"/>
    <w:rsid w:val="008546F0"/>
    <w:rsid w:val="008667C3"/>
    <w:rsid w:val="008678A1"/>
    <w:rsid w:val="0087229B"/>
    <w:rsid w:val="00874CD6"/>
    <w:rsid w:val="00875ED7"/>
    <w:rsid w:val="008822C6"/>
    <w:rsid w:val="00890351"/>
    <w:rsid w:val="008911E9"/>
    <w:rsid w:val="0089437F"/>
    <w:rsid w:val="008A130D"/>
    <w:rsid w:val="008B3108"/>
    <w:rsid w:val="008B583B"/>
    <w:rsid w:val="008D79C8"/>
    <w:rsid w:val="008E04DD"/>
    <w:rsid w:val="008E0C10"/>
    <w:rsid w:val="008F1565"/>
    <w:rsid w:val="00905C34"/>
    <w:rsid w:val="009120E5"/>
    <w:rsid w:val="00912BC3"/>
    <w:rsid w:val="0092215F"/>
    <w:rsid w:val="0092379A"/>
    <w:rsid w:val="0093197A"/>
    <w:rsid w:val="009440C6"/>
    <w:rsid w:val="00946605"/>
    <w:rsid w:val="00947BC2"/>
    <w:rsid w:val="00961E31"/>
    <w:rsid w:val="00962922"/>
    <w:rsid w:val="00971390"/>
    <w:rsid w:val="00974148"/>
    <w:rsid w:val="009750E2"/>
    <w:rsid w:val="00975122"/>
    <w:rsid w:val="009A63F2"/>
    <w:rsid w:val="009C519E"/>
    <w:rsid w:val="009D4CD7"/>
    <w:rsid w:val="009D5F48"/>
    <w:rsid w:val="00A143FA"/>
    <w:rsid w:val="00A25DBF"/>
    <w:rsid w:val="00A52932"/>
    <w:rsid w:val="00A653B4"/>
    <w:rsid w:val="00A6658D"/>
    <w:rsid w:val="00A76C91"/>
    <w:rsid w:val="00A8334C"/>
    <w:rsid w:val="00A92EC3"/>
    <w:rsid w:val="00A96FCF"/>
    <w:rsid w:val="00AA141E"/>
    <w:rsid w:val="00AA2862"/>
    <w:rsid w:val="00AA6D3F"/>
    <w:rsid w:val="00AC102D"/>
    <w:rsid w:val="00AC6E57"/>
    <w:rsid w:val="00AE7972"/>
    <w:rsid w:val="00B11923"/>
    <w:rsid w:val="00B17D16"/>
    <w:rsid w:val="00B276C2"/>
    <w:rsid w:val="00B30214"/>
    <w:rsid w:val="00B33598"/>
    <w:rsid w:val="00B340F6"/>
    <w:rsid w:val="00B34374"/>
    <w:rsid w:val="00B56B63"/>
    <w:rsid w:val="00B63A81"/>
    <w:rsid w:val="00B63E78"/>
    <w:rsid w:val="00B70FB8"/>
    <w:rsid w:val="00B70FEB"/>
    <w:rsid w:val="00B71A92"/>
    <w:rsid w:val="00B73BA7"/>
    <w:rsid w:val="00B8275B"/>
    <w:rsid w:val="00B86B69"/>
    <w:rsid w:val="00B90194"/>
    <w:rsid w:val="00B96418"/>
    <w:rsid w:val="00BA435B"/>
    <w:rsid w:val="00BB0F29"/>
    <w:rsid w:val="00BB0FB7"/>
    <w:rsid w:val="00BC1E74"/>
    <w:rsid w:val="00BC20EE"/>
    <w:rsid w:val="00BC4119"/>
    <w:rsid w:val="00BE1CF3"/>
    <w:rsid w:val="00BF3B0B"/>
    <w:rsid w:val="00BF3B8A"/>
    <w:rsid w:val="00BF4038"/>
    <w:rsid w:val="00C00117"/>
    <w:rsid w:val="00C039B3"/>
    <w:rsid w:val="00C1267E"/>
    <w:rsid w:val="00C15D8F"/>
    <w:rsid w:val="00C214D6"/>
    <w:rsid w:val="00C21D24"/>
    <w:rsid w:val="00C30C96"/>
    <w:rsid w:val="00C3135D"/>
    <w:rsid w:val="00C33924"/>
    <w:rsid w:val="00C41DD4"/>
    <w:rsid w:val="00C42660"/>
    <w:rsid w:val="00C51CA8"/>
    <w:rsid w:val="00C56B44"/>
    <w:rsid w:val="00C64235"/>
    <w:rsid w:val="00C67ED4"/>
    <w:rsid w:val="00C7708D"/>
    <w:rsid w:val="00C815E6"/>
    <w:rsid w:val="00C8389B"/>
    <w:rsid w:val="00C9745A"/>
    <w:rsid w:val="00CA0DD9"/>
    <w:rsid w:val="00CA1214"/>
    <w:rsid w:val="00CA1D5A"/>
    <w:rsid w:val="00CA4ADA"/>
    <w:rsid w:val="00CA7042"/>
    <w:rsid w:val="00CB3564"/>
    <w:rsid w:val="00CC045A"/>
    <w:rsid w:val="00CE01C0"/>
    <w:rsid w:val="00CE13C5"/>
    <w:rsid w:val="00CE19FA"/>
    <w:rsid w:val="00D141F9"/>
    <w:rsid w:val="00D2563A"/>
    <w:rsid w:val="00D34D1B"/>
    <w:rsid w:val="00D35177"/>
    <w:rsid w:val="00D44AAA"/>
    <w:rsid w:val="00D462E7"/>
    <w:rsid w:val="00D549EE"/>
    <w:rsid w:val="00D5636D"/>
    <w:rsid w:val="00D56A85"/>
    <w:rsid w:val="00D603D8"/>
    <w:rsid w:val="00D674D3"/>
    <w:rsid w:val="00D700D2"/>
    <w:rsid w:val="00D73F28"/>
    <w:rsid w:val="00D7726D"/>
    <w:rsid w:val="00D776DF"/>
    <w:rsid w:val="00D82EF9"/>
    <w:rsid w:val="00D83922"/>
    <w:rsid w:val="00D86262"/>
    <w:rsid w:val="00D8760E"/>
    <w:rsid w:val="00D92AAE"/>
    <w:rsid w:val="00DA04A6"/>
    <w:rsid w:val="00DB7039"/>
    <w:rsid w:val="00DC1215"/>
    <w:rsid w:val="00DC3E2E"/>
    <w:rsid w:val="00DC4505"/>
    <w:rsid w:val="00DD5AAA"/>
    <w:rsid w:val="00DE279B"/>
    <w:rsid w:val="00DE2F04"/>
    <w:rsid w:val="00DE4B14"/>
    <w:rsid w:val="00DE6C78"/>
    <w:rsid w:val="00DE6CC9"/>
    <w:rsid w:val="00DF4BB5"/>
    <w:rsid w:val="00DF4E68"/>
    <w:rsid w:val="00E03DB8"/>
    <w:rsid w:val="00E12892"/>
    <w:rsid w:val="00E32974"/>
    <w:rsid w:val="00E40EC8"/>
    <w:rsid w:val="00E44D9A"/>
    <w:rsid w:val="00E47853"/>
    <w:rsid w:val="00E51211"/>
    <w:rsid w:val="00E52E43"/>
    <w:rsid w:val="00E52EDD"/>
    <w:rsid w:val="00E53C8F"/>
    <w:rsid w:val="00E5490D"/>
    <w:rsid w:val="00E549A8"/>
    <w:rsid w:val="00E54F0F"/>
    <w:rsid w:val="00E83017"/>
    <w:rsid w:val="00E83F9D"/>
    <w:rsid w:val="00E90A85"/>
    <w:rsid w:val="00EA2FA4"/>
    <w:rsid w:val="00EA3BA8"/>
    <w:rsid w:val="00EB0289"/>
    <w:rsid w:val="00EB06BB"/>
    <w:rsid w:val="00EB0CDD"/>
    <w:rsid w:val="00EB2DC2"/>
    <w:rsid w:val="00EB6989"/>
    <w:rsid w:val="00EC112A"/>
    <w:rsid w:val="00EC2003"/>
    <w:rsid w:val="00EC4098"/>
    <w:rsid w:val="00EC6EC7"/>
    <w:rsid w:val="00ED3977"/>
    <w:rsid w:val="00EE47C2"/>
    <w:rsid w:val="00EE6253"/>
    <w:rsid w:val="00EE7F76"/>
    <w:rsid w:val="00EF3A87"/>
    <w:rsid w:val="00EF52CE"/>
    <w:rsid w:val="00F05C8E"/>
    <w:rsid w:val="00F11F45"/>
    <w:rsid w:val="00F14046"/>
    <w:rsid w:val="00F22F80"/>
    <w:rsid w:val="00F239EF"/>
    <w:rsid w:val="00F2791E"/>
    <w:rsid w:val="00F50022"/>
    <w:rsid w:val="00F5171B"/>
    <w:rsid w:val="00F51A99"/>
    <w:rsid w:val="00F53004"/>
    <w:rsid w:val="00F57385"/>
    <w:rsid w:val="00F612F4"/>
    <w:rsid w:val="00F61B9D"/>
    <w:rsid w:val="00F641FB"/>
    <w:rsid w:val="00F71239"/>
    <w:rsid w:val="00F7156C"/>
    <w:rsid w:val="00F7289D"/>
    <w:rsid w:val="00F75DBA"/>
    <w:rsid w:val="00F80CD0"/>
    <w:rsid w:val="00F94803"/>
    <w:rsid w:val="00F974EE"/>
    <w:rsid w:val="00FA2A5C"/>
    <w:rsid w:val="00FA7EDC"/>
    <w:rsid w:val="00FB080C"/>
    <w:rsid w:val="00FB4395"/>
    <w:rsid w:val="00FC206A"/>
    <w:rsid w:val="00FC4F4B"/>
    <w:rsid w:val="00FD2A79"/>
    <w:rsid w:val="00FD49B4"/>
    <w:rsid w:val="00FF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4E306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ＭＳ 明朝" w:hAnsi="Times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0117"/>
    <w:pPr>
      <w:spacing w:after="120"/>
    </w:pPr>
    <w:rPr>
      <w:rFonts w:ascii="Times New Roman" w:hAnsi="Times New Roman"/>
      <w:noProof/>
      <w:sz w:val="24"/>
      <w:lang w:eastAsia="en-US" w:bidi="bn-IN"/>
    </w:rPr>
  </w:style>
  <w:style w:type="paragraph" w:styleId="1">
    <w:name w:val="heading 1"/>
    <w:basedOn w:val="a"/>
    <w:next w:val="a"/>
    <w:qFormat/>
    <w:rsid w:val="00C00117"/>
    <w:pPr>
      <w:keepNext/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240" w:after="60"/>
      <w:outlineLvl w:val="0"/>
    </w:pPr>
    <w:rPr>
      <w:rFonts w:ascii="Arial" w:eastAsia="Times New Roman" w:hAnsi="Arial"/>
      <w:i/>
      <w:color w:val="000080"/>
      <w:sz w:val="32"/>
    </w:rPr>
  </w:style>
  <w:style w:type="paragraph" w:styleId="2">
    <w:name w:val="heading 2"/>
    <w:basedOn w:val="a"/>
    <w:next w:val="a"/>
    <w:qFormat/>
    <w:rsid w:val="00C00117"/>
    <w:pPr>
      <w:keepNext/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120" w:after="60"/>
      <w:outlineLvl w:val="1"/>
    </w:pPr>
    <w:rPr>
      <w:rFonts w:ascii="Arial" w:eastAsia="Times New Roman" w:hAnsi="Arial"/>
      <w:color w:val="000080"/>
      <w:sz w:val="28"/>
    </w:rPr>
  </w:style>
  <w:style w:type="paragraph" w:styleId="3">
    <w:name w:val="heading 3"/>
    <w:basedOn w:val="a"/>
    <w:next w:val="a"/>
    <w:qFormat/>
    <w:rsid w:val="00C00117"/>
    <w:pPr>
      <w:keepNext/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left="360"/>
      <w:outlineLvl w:val="2"/>
    </w:pPr>
    <w:rPr>
      <w:rFonts w:ascii="Arial" w:eastAsia="Times New Roman" w:hAnsi="Arial"/>
      <w:i/>
      <w:color w:val="000080"/>
    </w:rPr>
  </w:style>
  <w:style w:type="paragraph" w:styleId="4">
    <w:name w:val="heading 4"/>
    <w:basedOn w:val="a"/>
    <w:next w:val="a"/>
    <w:qFormat/>
    <w:rsid w:val="00C00117"/>
    <w:pPr>
      <w:keepNext/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left="360"/>
      <w:outlineLvl w:val="3"/>
    </w:pPr>
    <w:rPr>
      <w:rFonts w:ascii="Arial" w:eastAsia="Times New Roman" w:hAnsi="Arial"/>
      <w:color w:val="0000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00117"/>
    <w:rPr>
      <w:rFonts w:ascii="Tahoma" w:hAnsi="Tahoma" w:cs="Tahoma"/>
      <w:sz w:val="16"/>
      <w:szCs w:val="16"/>
    </w:rPr>
  </w:style>
  <w:style w:type="character" w:styleId="a4">
    <w:name w:val="Hyperlink"/>
    <w:rsid w:val="00C00117"/>
    <w:rPr>
      <w:color w:val="0000FF"/>
      <w:u w:val="single"/>
    </w:rPr>
  </w:style>
  <w:style w:type="paragraph" w:customStyle="1" w:styleId="Bullet">
    <w:name w:val="Bullet"/>
    <w:basedOn w:val="a"/>
    <w:rsid w:val="00C00117"/>
    <w:pPr>
      <w:numPr>
        <w:numId w:val="2"/>
      </w:numPr>
      <w:tabs>
        <w:tab w:val="clear" w:pos="720"/>
      </w:tabs>
      <w:ind w:left="360"/>
    </w:pPr>
    <w:rPr>
      <w:color w:val="FF0000"/>
    </w:rPr>
  </w:style>
  <w:style w:type="paragraph" w:customStyle="1" w:styleId="ArticleTitle">
    <w:name w:val="Article Title"/>
    <w:basedOn w:val="a"/>
    <w:rsid w:val="00C00117"/>
    <w:pPr>
      <w:jc w:val="center"/>
    </w:pPr>
    <w:rPr>
      <w:b/>
      <w:sz w:val="36"/>
    </w:rPr>
  </w:style>
  <w:style w:type="character" w:styleId="a5">
    <w:name w:val="page number"/>
    <w:basedOn w:val="a0"/>
    <w:rsid w:val="00C00117"/>
  </w:style>
  <w:style w:type="paragraph" w:customStyle="1" w:styleId="NormalNumbered">
    <w:name w:val="Normal Numbered"/>
    <w:basedOn w:val="a"/>
    <w:rsid w:val="00C00117"/>
    <w:pPr>
      <w:widowControl w:val="0"/>
      <w:tabs>
        <w:tab w:val="num" w:pos="720"/>
      </w:tabs>
      <w:autoSpaceDE w:val="0"/>
      <w:autoSpaceDN w:val="0"/>
      <w:adjustRightInd w:val="0"/>
      <w:spacing w:before="120"/>
      <w:ind w:left="720" w:hanging="360"/>
    </w:pPr>
    <w:rPr>
      <w:rFonts w:eastAsia="Times New Roman"/>
      <w:bCs/>
      <w:szCs w:val="24"/>
    </w:rPr>
  </w:style>
  <w:style w:type="character" w:styleId="a6">
    <w:name w:val="endnote reference"/>
    <w:rsid w:val="00C00117"/>
    <w:rPr>
      <w:vertAlign w:val="superscript"/>
    </w:rPr>
  </w:style>
  <w:style w:type="character" w:styleId="a7">
    <w:name w:val="annotation reference"/>
    <w:rsid w:val="00C00117"/>
    <w:rPr>
      <w:sz w:val="16"/>
      <w:szCs w:val="16"/>
    </w:rPr>
  </w:style>
  <w:style w:type="paragraph" w:customStyle="1" w:styleId="10">
    <w:name w:val="本文1"/>
    <w:basedOn w:val="a"/>
    <w:qFormat/>
    <w:rsid w:val="00C00117"/>
    <w:pPr>
      <w:spacing w:before="120" w:line="480" w:lineRule="auto"/>
    </w:pPr>
  </w:style>
  <w:style w:type="paragraph" w:customStyle="1" w:styleId="ShortTitle">
    <w:name w:val="Short Title"/>
    <w:basedOn w:val="a"/>
    <w:rsid w:val="00C00117"/>
    <w:pPr>
      <w:spacing w:before="120"/>
      <w:jc w:val="center"/>
    </w:pPr>
    <w:rPr>
      <w:sz w:val="32"/>
      <w:szCs w:val="32"/>
    </w:rPr>
  </w:style>
  <w:style w:type="paragraph" w:styleId="a8">
    <w:name w:val="header"/>
    <w:basedOn w:val="a"/>
    <w:rsid w:val="00C00117"/>
    <w:pPr>
      <w:tabs>
        <w:tab w:val="center" w:pos="4320"/>
        <w:tab w:val="right" w:pos="8640"/>
      </w:tabs>
    </w:pPr>
  </w:style>
  <w:style w:type="paragraph" w:styleId="a9">
    <w:name w:val="annotation text"/>
    <w:basedOn w:val="a"/>
    <w:semiHidden/>
    <w:rsid w:val="00C00117"/>
    <w:rPr>
      <w:sz w:val="20"/>
    </w:rPr>
  </w:style>
  <w:style w:type="paragraph" w:styleId="aa">
    <w:name w:val="annotation subject"/>
    <w:basedOn w:val="a9"/>
    <w:next w:val="a9"/>
    <w:semiHidden/>
    <w:rsid w:val="00C00117"/>
    <w:rPr>
      <w:b/>
      <w:bCs/>
    </w:rPr>
  </w:style>
  <w:style w:type="character" w:customStyle="1" w:styleId="Heading1Char">
    <w:name w:val="Heading 1 Char"/>
    <w:rsid w:val="00C00117"/>
    <w:rPr>
      <w:rFonts w:ascii="Arial" w:hAnsi="Arial"/>
      <w:i/>
      <w:color w:val="000080"/>
      <w:sz w:val="32"/>
      <w:lang w:val="en-US" w:eastAsia="en-US" w:bidi="bn-IN"/>
    </w:rPr>
  </w:style>
  <w:style w:type="paragraph" w:styleId="ab">
    <w:name w:val="footer"/>
    <w:basedOn w:val="a"/>
    <w:rsid w:val="00C00117"/>
    <w:pPr>
      <w:tabs>
        <w:tab w:val="center" w:pos="4320"/>
        <w:tab w:val="right" w:pos="8640"/>
      </w:tabs>
    </w:pPr>
  </w:style>
  <w:style w:type="character" w:customStyle="1" w:styleId="11">
    <w:name w:val="強調太字1"/>
    <w:basedOn w:val="a0"/>
    <w:rsid w:val="00C00117"/>
  </w:style>
  <w:style w:type="paragraph" w:styleId="30">
    <w:name w:val="Body Text 3"/>
    <w:basedOn w:val="a"/>
    <w:rsid w:val="00C00117"/>
    <w:pPr>
      <w:widowControl w:val="0"/>
      <w:autoSpaceDE w:val="0"/>
      <w:autoSpaceDN w:val="0"/>
      <w:adjustRightInd w:val="0"/>
      <w:spacing w:after="0"/>
    </w:pPr>
    <w:rPr>
      <w:rFonts w:ascii="Helvetica" w:eastAsia="Times New Roman" w:hAnsi="Helvetica"/>
      <w:sz w:val="28"/>
    </w:rPr>
  </w:style>
  <w:style w:type="character" w:styleId="ac">
    <w:name w:val="FollowedHyperlink"/>
    <w:uiPriority w:val="99"/>
    <w:semiHidden/>
    <w:unhideWhenUsed/>
    <w:rsid w:val="007742ED"/>
    <w:rPr>
      <w:color w:val="800080"/>
      <w:u w:val="single"/>
    </w:rPr>
  </w:style>
  <w:style w:type="paragraph" w:customStyle="1" w:styleId="EndNoteBibliography">
    <w:name w:val="EndNote Bibliography"/>
    <w:basedOn w:val="a"/>
    <w:rsid w:val="00F612F4"/>
    <w:pPr>
      <w:widowControl w:val="0"/>
      <w:spacing w:after="0"/>
      <w:jc w:val="both"/>
    </w:pPr>
    <w:rPr>
      <w:rFonts w:eastAsia="Palatino"/>
      <w:noProof w:val="0"/>
      <w:kern w:val="2"/>
      <w:szCs w:val="24"/>
      <w:lang w:eastAsia="ja-JP" w:bidi="ar-SA"/>
    </w:rPr>
  </w:style>
  <w:style w:type="paragraph" w:customStyle="1" w:styleId="EndNoteBibliographyTitle">
    <w:name w:val="EndNote Bibliography Title"/>
    <w:basedOn w:val="a"/>
    <w:rsid w:val="007E2C84"/>
    <w:pPr>
      <w:spacing w:after="0"/>
      <w:jc w:val="center"/>
    </w:pPr>
  </w:style>
  <w:style w:type="paragraph" w:styleId="ad">
    <w:name w:val="Revision"/>
    <w:hidden/>
    <w:uiPriority w:val="99"/>
    <w:semiHidden/>
    <w:rsid w:val="0019734C"/>
    <w:rPr>
      <w:rFonts w:ascii="Times New Roman" w:hAnsi="Times New Roman"/>
      <w:noProof/>
      <w:sz w:val="24"/>
      <w:lang w:eastAsia="en-US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359261-7AB0-DD4E-9C3F-625344DF6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1499</Characters>
  <Application>Microsoft Macintosh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1758</CharactersWithSpaces>
  <SharedDoc>false</SharedDoc>
  <HLinks>
    <vt:vector size="54" baseType="variant"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>http://edmgr.ovid.com/aa/accounts/ifauth.htm</vt:lpwstr>
      </vt:variant>
      <vt:variant>
        <vt:lpwstr>Copyright</vt:lpwstr>
      </vt:variant>
      <vt:variant>
        <vt:i4>2621514</vt:i4>
      </vt:variant>
      <vt:variant>
        <vt:i4>53</vt:i4>
      </vt:variant>
      <vt:variant>
        <vt:i4>0</vt:i4>
      </vt:variant>
      <vt:variant>
        <vt:i4>5</vt:i4>
      </vt:variant>
      <vt:variant>
        <vt:lpwstr>http://www.anesthesia-analgesia.org</vt:lpwstr>
      </vt:variant>
      <vt:variant>
        <vt:lpwstr/>
      </vt:variant>
      <vt:variant>
        <vt:i4>7995456</vt:i4>
      </vt:variant>
      <vt:variant>
        <vt:i4>50</vt:i4>
      </vt:variant>
      <vt:variant>
        <vt:i4>0</vt:i4>
      </vt:variant>
      <vt:variant>
        <vt:i4>5</vt:i4>
      </vt:variant>
      <vt:variant>
        <vt:lpwstr>http://www.aaeditor.org/GuideforAuthors.pdf</vt:lpwstr>
      </vt:variant>
      <vt:variant>
        <vt:lpwstr/>
      </vt:variant>
      <vt:variant>
        <vt:i4>5439587</vt:i4>
      </vt:variant>
      <vt:variant>
        <vt:i4>47</vt:i4>
      </vt:variant>
      <vt:variant>
        <vt:i4>0</vt:i4>
      </vt:variant>
      <vt:variant>
        <vt:i4>5</vt:i4>
      </vt:variant>
      <vt:variant>
        <vt:lpwstr>http://www.consort-statement.org/</vt:lpwstr>
      </vt:variant>
      <vt:variant>
        <vt:lpwstr/>
      </vt:variant>
      <vt:variant>
        <vt:i4>3538988</vt:i4>
      </vt:variant>
      <vt:variant>
        <vt:i4>44</vt:i4>
      </vt:variant>
      <vt:variant>
        <vt:i4>0</vt:i4>
      </vt:variant>
      <vt:variant>
        <vt:i4>5</vt:i4>
      </vt:variant>
      <vt:variant>
        <vt:lpwstr>http://www.clinicaltrials.gov/</vt:lpwstr>
      </vt:variant>
      <vt:variant>
        <vt:lpwstr/>
      </vt:variant>
      <vt:variant>
        <vt:i4>3538949</vt:i4>
      </vt:variant>
      <vt:variant>
        <vt:i4>41</vt:i4>
      </vt:variant>
      <vt:variant>
        <vt:i4>0</vt:i4>
      </vt:variant>
      <vt:variant>
        <vt:i4>5</vt:i4>
      </vt:variant>
      <vt:variant>
        <vt:lpwstr>http://ohsr.od.nih.gov/guidelines/helsinki.html</vt:lpwstr>
      </vt:variant>
      <vt:variant>
        <vt:lpwstr/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>http://edmgr.ovid.com/aa/accounts/ifauth.htm</vt:lpwstr>
      </vt:variant>
      <vt:variant>
        <vt:lpwstr>Copyright</vt:lpwstr>
      </vt:variant>
      <vt:variant>
        <vt:i4>4325418</vt:i4>
      </vt:variant>
      <vt:variant>
        <vt:i4>35</vt:i4>
      </vt:variant>
      <vt:variant>
        <vt:i4>0</vt:i4>
      </vt:variant>
      <vt:variant>
        <vt:i4>5</vt:i4>
      </vt:variant>
      <vt:variant>
        <vt:lpwstr>http://www.icmje.org/</vt:lpwstr>
      </vt:variant>
      <vt:variant>
        <vt:lpwstr/>
      </vt:variant>
      <vt:variant>
        <vt:i4>7995456</vt:i4>
      </vt:variant>
      <vt:variant>
        <vt:i4>32</vt:i4>
      </vt:variant>
      <vt:variant>
        <vt:i4>0</vt:i4>
      </vt:variant>
      <vt:variant>
        <vt:i4>5</vt:i4>
      </vt:variant>
      <vt:variant>
        <vt:lpwstr>http://www.aaeditor.org/GuideforAuthors.pdf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2015-11-07T08:08:00Z</dcterms:created>
  <dcterms:modified xsi:type="dcterms:W3CDTF">2015-12-17T03:14:00Z</dcterms:modified>
</cp:coreProperties>
</file>