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Company Detector</w:t>
        <w:br/>
        <w:t>Docker Deployment Handover</w:t>
      </w:r>
    </w:p>
    <w:p>
      <w:r>
        <w:rPr>
          <w:b/>
          <w:color w:val="4B5563"/>
        </w:rPr>
        <w:t>Office Server Production Deployment • Repository: nunutech40/company-detector-bot</w:t>
      </w:r>
    </w:p>
    <w:p>
      <w:pPr>
        <w:spacing w:before="160" w:after="200"/>
      </w:pPr>
      <w:r>
        <w:rPr>
          <w:b/>
        </w:rPr>
        <w:t xml:space="preserve">Deployment objective. </w:t>
      </w:r>
      <w:r>
        <w:t>Run the complete Company Detector production stack on the office server using Docker Compose, restore existing production data, verify AI investigation and Telegram delivery, then cut over safely from the old VPS.</w:t>
      </w:r>
    </w:p>
    <w:p>
      <w:pPr>
        <w:pStyle w:val="Heading1"/>
      </w:pPr>
      <w:r>
        <w:t>1. Scope and Required Outcome</w:t>
      </w:r>
    </w:p>
    <w:p>
      <w:pPr>
        <w:pStyle w:val="ListBullet"/>
        <w:spacing w:after="60"/>
      </w:pPr>
      <w:r>
        <w:t>☐ All production services run as Docker Compose services.</w:t>
      </w:r>
    </w:p>
    <w:p>
      <w:pPr>
        <w:pStyle w:val="ListBullet"/>
        <w:spacing w:after="60"/>
      </w:pPr>
      <w:r>
        <w:t>☐ Existing PostgreSQL investigation, queue, and report data is preserved.</w:t>
      </w:r>
    </w:p>
    <w:p>
      <w:pPr>
        <w:pStyle w:val="ListBullet"/>
        <w:spacing w:after="60"/>
      </w:pPr>
      <w:r>
        <w:t>☐ The AI worker uses the configured Sumopod model without reducing investigation flow or tools.</w:t>
      </w:r>
    </w:p>
    <w:p>
      <w:pPr>
        <w:pStyle w:val="ListBullet"/>
        <w:spacing w:after="60"/>
      </w:pPr>
      <w:r>
        <w:t>☐ Each completed register investigation is stored in PostgreSQL and delivered through the production Telegram bot.</w:t>
      </w:r>
    </w:p>
    <w:p>
      <w:pPr>
        <w:pStyle w:val="ListBullet"/>
        <w:spacing w:after="60"/>
      </w:pPr>
      <w:r>
        <w:t>☐ The prospect digest is delivered to Slack daily at 09:00 WIB.</w:t>
      </w:r>
    </w:p>
    <w:p>
      <w:pPr>
        <w:pStyle w:val="ListBullet"/>
        <w:spacing w:after="60"/>
      </w:pPr>
      <w:r>
        <w:t>☐ Dashboard and webhook are exposed through the office reverse proxy with HTTPS.</w:t>
      </w:r>
    </w:p>
    <w:p>
      <w:pPr>
        <w:pStyle w:val="Heading1"/>
      </w:pPr>
      <w:r>
        <w:t>2. Deployment Package</w:t>
      </w:r>
    </w:p>
    <w:tbl>
      <w:tblPr>
        <w:tblW w:type="auto" w:w="0"/>
        <w:jc w:val="center"/>
        <w:tblLayout w:type="fixed"/>
        <w:tblLook w:firstColumn="1" w:firstRow="1" w:lastColumn="0" w:lastRow="0" w:noHBand="0" w:noVBand="1" w:val="04A0"/>
      </w:tblPr>
      <w:tblGrid>
        <w:gridCol w:w="4968"/>
        <w:gridCol w:w="4968"/>
      </w:tblGrid>
      <w:tr>
        <w:tc>
          <w:tcPr>
            <w:tcW w:type="dxa" w:w="2376"/>
            <w:shd w:fill="DCE6F1"/>
            <w:tcMar>
              <w:top w:w="100" w:type="dxa"/>
              <w:start w:w="120" w:type="dxa"/>
              <w:bottom w:w="100" w:type="dxa"/>
              <w:end w:w="120" w:type="dxa"/>
            </w:tcMar>
            <w:vAlign w:val="center"/>
          </w:tcPr>
          <w:p>
            <w:r>
              <w:rPr>
                <w:b/>
                <w:sz w:val="18"/>
              </w:rPr>
              <w:t>Item</w:t>
            </w:r>
          </w:p>
        </w:tc>
        <w:tc>
          <w:tcPr>
            <w:tcW w:type="dxa" w:w="7128"/>
            <w:shd w:fill="DCE6F1"/>
            <w:tcMar>
              <w:top w:w="100" w:type="dxa"/>
              <w:start w:w="120" w:type="dxa"/>
              <w:bottom w:w="100" w:type="dxa"/>
              <w:end w:w="120" w:type="dxa"/>
            </w:tcMar>
            <w:vAlign w:val="center"/>
          </w:tcPr>
          <w:p>
            <w:r>
              <w:rPr>
                <w:b/>
                <w:sz w:val="18"/>
              </w:rPr>
              <w:t>Location / Purpose</w:t>
            </w:r>
          </w:p>
        </w:tc>
      </w:tr>
      <w:tr>
        <w:tc>
          <w:tcPr>
            <w:tcW w:type="dxa" w:w="2376"/>
            <w:tcMar>
              <w:top w:w="100" w:type="dxa"/>
              <w:start w:w="120" w:type="dxa"/>
              <w:bottom w:w="100" w:type="dxa"/>
              <w:end w:w="120" w:type="dxa"/>
            </w:tcMar>
            <w:vAlign w:val="center"/>
          </w:tcPr>
          <w:p>
            <w:pPr>
              <w:spacing w:after="0"/>
            </w:pPr>
            <w:r>
              <w:rPr>
                <w:sz w:val="18"/>
              </w:rPr>
              <w:t>Repository</w:t>
            </w:r>
          </w:p>
        </w:tc>
        <w:tc>
          <w:tcPr>
            <w:tcW w:type="dxa" w:w="7128"/>
            <w:tcMar>
              <w:top w:w="100" w:type="dxa"/>
              <w:start w:w="120" w:type="dxa"/>
              <w:bottom w:w="100" w:type="dxa"/>
              <w:end w:w="120" w:type="dxa"/>
            </w:tcMar>
            <w:vAlign w:val="center"/>
          </w:tcPr>
          <w:p>
            <w:pPr>
              <w:spacing w:after="0"/>
            </w:pPr>
            <w:r>
              <w:rPr>
                <w:sz w:val="18"/>
              </w:rPr>
              <w:t>https://github.com/nunutech40/company-detector-bot — branch main</w:t>
            </w:r>
          </w:p>
        </w:tc>
      </w:tr>
      <w:tr>
        <w:tc>
          <w:tcPr>
            <w:tcW w:type="dxa" w:w="2376"/>
            <w:tcMar>
              <w:top w:w="100" w:type="dxa"/>
              <w:start w:w="120" w:type="dxa"/>
              <w:bottom w:w="100" w:type="dxa"/>
              <w:end w:w="120" w:type="dxa"/>
            </w:tcMar>
            <w:vAlign w:val="center"/>
          </w:tcPr>
          <w:p>
            <w:pPr>
              <w:spacing w:after="0"/>
            </w:pPr>
            <w:r>
              <w:rPr>
                <w:sz w:val="18"/>
              </w:rPr>
              <w:t>Docker definition</w:t>
            </w:r>
          </w:p>
        </w:tc>
        <w:tc>
          <w:tcPr>
            <w:tcW w:type="dxa" w:w="7128"/>
            <w:tcMar>
              <w:top w:w="100" w:type="dxa"/>
              <w:start w:w="120" w:type="dxa"/>
              <w:bottom w:w="100" w:type="dxa"/>
              <w:end w:w="120" w:type="dxa"/>
            </w:tcMar>
            <w:vAlign w:val="center"/>
          </w:tcPr>
          <w:p>
            <w:pPr>
              <w:spacing w:after="0"/>
            </w:pPr>
            <w:r>
              <w:rPr>
                <w:sz w:val="18"/>
              </w:rPr>
              <w:t>Dockerfile and compose.yml</w:t>
            </w:r>
          </w:p>
        </w:tc>
      </w:tr>
      <w:tr>
        <w:tc>
          <w:tcPr>
            <w:tcW w:type="dxa" w:w="2376"/>
            <w:tcMar>
              <w:top w:w="100" w:type="dxa"/>
              <w:start w:w="120" w:type="dxa"/>
              <w:bottom w:w="100" w:type="dxa"/>
              <w:end w:w="120" w:type="dxa"/>
            </w:tcMar>
            <w:vAlign w:val="center"/>
          </w:tcPr>
          <w:p>
            <w:pPr>
              <w:spacing w:after="0"/>
            </w:pPr>
            <w:r>
              <w:rPr>
                <w:sz w:val="18"/>
              </w:rPr>
              <w:t>Environment template</w:t>
            </w:r>
          </w:p>
        </w:tc>
        <w:tc>
          <w:tcPr>
            <w:tcW w:type="dxa" w:w="7128"/>
            <w:tcMar>
              <w:top w:w="100" w:type="dxa"/>
              <w:start w:w="120" w:type="dxa"/>
              <w:bottom w:w="100" w:type="dxa"/>
              <w:end w:w="120" w:type="dxa"/>
            </w:tcMar>
            <w:vAlign w:val="center"/>
          </w:tcPr>
          <w:p>
            <w:pPr>
              <w:spacing w:after="0"/>
            </w:pPr>
            <w:r>
              <w:rPr>
                <w:sz w:val="18"/>
              </w:rPr>
              <w:t>.env.docker.example — copy to .env and fill through a secure channel</w:t>
            </w:r>
          </w:p>
        </w:tc>
      </w:tr>
      <w:tr>
        <w:tc>
          <w:tcPr>
            <w:tcW w:type="dxa" w:w="2376"/>
            <w:tcMar>
              <w:top w:w="100" w:type="dxa"/>
              <w:start w:w="120" w:type="dxa"/>
              <w:bottom w:w="100" w:type="dxa"/>
              <w:end w:w="120" w:type="dxa"/>
            </w:tcMar>
            <w:vAlign w:val="center"/>
          </w:tcPr>
          <w:p>
            <w:pPr>
              <w:spacing w:after="0"/>
            </w:pPr>
            <w:r>
              <w:rPr>
                <w:sz w:val="18"/>
              </w:rPr>
              <w:t>Pre-cutover test</w:t>
            </w:r>
          </w:p>
        </w:tc>
        <w:tc>
          <w:tcPr>
            <w:tcW w:type="dxa" w:w="7128"/>
            <w:tcMar>
              <w:top w:w="100" w:type="dxa"/>
              <w:start w:w="120" w:type="dxa"/>
              <w:bottom w:w="100" w:type="dxa"/>
              <w:end w:w="120" w:type="dxa"/>
            </w:tcMar>
            <w:vAlign w:val="center"/>
          </w:tcPr>
          <w:p>
            <w:pPr>
              <w:spacing w:after="0"/>
            </w:pPr>
            <w:r>
              <w:rPr>
                <w:sz w:val="18"/>
              </w:rPr>
              <w:t>ops/docker/verify-precutover.sh</w:t>
            </w:r>
          </w:p>
        </w:tc>
      </w:tr>
      <w:tr>
        <w:tc>
          <w:tcPr>
            <w:tcW w:type="dxa" w:w="2376"/>
            <w:tcMar>
              <w:top w:w="100" w:type="dxa"/>
              <w:start w:w="120" w:type="dxa"/>
              <w:bottom w:w="100" w:type="dxa"/>
              <w:end w:w="120" w:type="dxa"/>
            </w:tcMar>
            <w:vAlign w:val="center"/>
          </w:tcPr>
          <w:p>
            <w:pPr>
              <w:spacing w:after="0"/>
            </w:pPr>
            <w:r>
              <w:rPr>
                <w:sz w:val="18"/>
              </w:rPr>
              <w:t>Final acceptance</w:t>
            </w:r>
          </w:p>
        </w:tc>
        <w:tc>
          <w:tcPr>
            <w:tcW w:type="dxa" w:w="7128"/>
            <w:tcMar>
              <w:top w:w="100" w:type="dxa"/>
              <w:start w:w="120" w:type="dxa"/>
              <w:bottom w:w="100" w:type="dxa"/>
              <w:end w:w="120" w:type="dxa"/>
            </w:tcMar>
            <w:vAlign w:val="center"/>
          </w:tcPr>
          <w:p>
            <w:pPr>
              <w:spacing w:after="0"/>
            </w:pPr>
            <w:r>
              <w:rPr>
                <w:sz w:val="18"/>
              </w:rPr>
              <w:t>ops/docker/verify-deployment.sh</w:t>
            </w:r>
          </w:p>
        </w:tc>
      </w:tr>
      <w:tr>
        <w:tc>
          <w:tcPr>
            <w:tcW w:type="dxa" w:w="2376"/>
            <w:tcMar>
              <w:top w:w="100" w:type="dxa"/>
              <w:start w:w="120" w:type="dxa"/>
              <w:bottom w:w="100" w:type="dxa"/>
              <w:end w:w="120" w:type="dxa"/>
            </w:tcMar>
            <w:vAlign w:val="center"/>
          </w:tcPr>
          <w:p>
            <w:pPr>
              <w:spacing w:after="0"/>
            </w:pPr>
            <w:r>
              <w:rPr>
                <w:sz w:val="18"/>
              </w:rPr>
              <w:t>Internal runbook</w:t>
            </w:r>
          </w:p>
        </w:tc>
        <w:tc>
          <w:tcPr>
            <w:tcW w:type="dxa" w:w="7128"/>
            <w:tcMar>
              <w:top w:w="100" w:type="dxa"/>
              <w:start w:w="120" w:type="dxa"/>
              <w:bottom w:w="100" w:type="dxa"/>
              <w:end w:w="120" w:type="dxa"/>
            </w:tcMar>
            <w:vAlign w:val="center"/>
          </w:tcPr>
          <w:p>
            <w:pPr>
              <w:spacing w:after="0"/>
            </w:pPr>
            <w:r>
              <w:rPr>
                <w:sz w:val="18"/>
              </w:rPr>
              <w:t>docs/technical/DOCKER_DEPLOYMENT_RUNBOOK.md</w:t>
            </w:r>
          </w:p>
        </w:tc>
      </w:tr>
    </w:tbl>
    <w:p>
      <w:pPr>
        <w:spacing w:after="0"/>
      </w:pPr>
    </w:p>
    <w:p>
      <w:pPr>
        <w:pStyle w:val="Heading1"/>
      </w:pPr>
      <w:r>
        <w:t>3. Infrastructure Requirements</w:t>
      </w:r>
    </w:p>
    <w:p>
      <w:pPr>
        <w:pStyle w:val="ListBullet"/>
        <w:spacing w:after="60"/>
      </w:pPr>
      <w:r>
        <w:t>Linux server with Docker Engine and Docker Compose plugin.</w:t>
      </w:r>
    </w:p>
    <w:p>
      <w:pPr>
        <w:pStyle w:val="ListBullet"/>
        <w:spacing w:after="60"/>
      </w:pPr>
      <w:r>
        <w:t>Outbound HTTPS access to Sumopod, Telegram, Slack, GitHub, and configured search providers.</w:t>
      </w:r>
    </w:p>
    <w:p>
      <w:pPr>
        <w:pStyle w:val="ListBullet"/>
        <w:spacing w:after="60"/>
      </w:pPr>
      <w:r>
        <w:t>Inbound HTTPS route for dashboard and webhook through Nginx, Traefik, Caddy, or office standard reverse proxy.</w:t>
      </w:r>
    </w:p>
    <w:p>
      <w:pPr>
        <w:pStyle w:val="ListBullet"/>
        <w:spacing w:after="60"/>
      </w:pPr>
      <w:r>
        <w:t>Persistent storage and backup policy for PostgreSQL Docker volume.</w:t>
      </w:r>
    </w:p>
    <w:p>
      <w:pPr>
        <w:pStyle w:val="ListBullet"/>
        <w:spacing w:after="60"/>
      </w:pPr>
      <w:r>
        <w:t>Repository read access using an office-managed GitHub deploy key or machine account.</w:t>
      </w:r>
    </w:p>
    <w:p>
      <w:pPr>
        <w:pStyle w:val="Heading1"/>
      </w:pPr>
      <w:r>
        <w:t>4. Secrets and Configuration</w:t>
      </w:r>
    </w:p>
    <w:p>
      <w:r>
        <w:t>Receive secret values through an approved secure channel. Never commit .env or paste secret values into tickets, screenshots, or this document.</w:t>
      </w:r>
    </w:p>
    <w:tbl>
      <w:tblPr>
        <w:tblW w:type="auto" w:w="0"/>
        <w:jc w:val="center"/>
        <w:tblLayout w:type="fixed"/>
        <w:tblLook w:firstColumn="1" w:firstRow="1" w:lastColumn="0" w:lastRow="0" w:noHBand="0" w:noVBand="1" w:val="04A0"/>
      </w:tblPr>
      <w:tblGrid>
        <w:gridCol w:w="4968"/>
        <w:gridCol w:w="4968"/>
      </w:tblGrid>
      <w:tr>
        <w:tc>
          <w:tcPr>
            <w:tcW w:type="dxa" w:w="3816"/>
            <w:shd w:fill="DCE6F1"/>
            <w:tcMar>
              <w:top w:w="100" w:type="dxa"/>
              <w:start w:w="120" w:type="dxa"/>
              <w:bottom w:w="100" w:type="dxa"/>
              <w:end w:w="120" w:type="dxa"/>
            </w:tcMar>
            <w:vAlign w:val="center"/>
          </w:tcPr>
          <w:p>
            <w:r>
              <w:rPr>
                <w:b/>
                <w:sz w:val="18"/>
              </w:rPr>
              <w:t>Required value</w:t>
            </w:r>
          </w:p>
        </w:tc>
        <w:tc>
          <w:tcPr>
            <w:tcW w:type="dxa" w:w="5688"/>
            <w:shd w:fill="DCE6F1"/>
            <w:tcMar>
              <w:top w:w="100" w:type="dxa"/>
              <w:start w:w="120" w:type="dxa"/>
              <w:bottom w:w="100" w:type="dxa"/>
              <w:end w:w="120" w:type="dxa"/>
            </w:tcMar>
            <w:vAlign w:val="center"/>
          </w:tcPr>
          <w:p>
            <w:r>
              <w:rPr>
                <w:b/>
                <w:sz w:val="18"/>
              </w:rPr>
              <w:t>Purpose</w:t>
            </w:r>
          </w:p>
        </w:tc>
      </w:tr>
      <w:tr>
        <w:tc>
          <w:tcPr>
            <w:tcW w:type="dxa" w:w="3816"/>
            <w:tcMar>
              <w:top w:w="100" w:type="dxa"/>
              <w:start w:w="120" w:type="dxa"/>
              <w:bottom w:w="100" w:type="dxa"/>
              <w:end w:w="120" w:type="dxa"/>
            </w:tcMar>
            <w:vAlign w:val="center"/>
          </w:tcPr>
          <w:p>
            <w:pPr>
              <w:spacing w:after="0"/>
            </w:pPr>
            <w:r>
              <w:rPr>
                <w:sz w:val="18"/>
              </w:rPr>
              <w:t>POSTGRES_PASSWORD</w:t>
            </w:r>
          </w:p>
        </w:tc>
        <w:tc>
          <w:tcPr>
            <w:tcW w:type="dxa" w:w="5688"/>
            <w:tcMar>
              <w:top w:w="100" w:type="dxa"/>
              <w:start w:w="120" w:type="dxa"/>
              <w:bottom w:w="100" w:type="dxa"/>
              <w:end w:w="120" w:type="dxa"/>
            </w:tcMar>
            <w:vAlign w:val="center"/>
          </w:tcPr>
          <w:p>
            <w:pPr>
              <w:spacing w:after="0"/>
            </w:pPr>
            <w:r>
              <w:rPr>
                <w:sz w:val="18"/>
              </w:rPr>
              <w:t>Compose PostgreSQL authentication</w:t>
            </w:r>
          </w:p>
        </w:tc>
      </w:tr>
      <w:tr>
        <w:tc>
          <w:tcPr>
            <w:tcW w:type="dxa" w:w="3816"/>
            <w:tcMar>
              <w:top w:w="100" w:type="dxa"/>
              <w:start w:w="120" w:type="dxa"/>
              <w:bottom w:w="100" w:type="dxa"/>
              <w:end w:w="120" w:type="dxa"/>
            </w:tcMar>
            <w:vAlign w:val="center"/>
          </w:tcPr>
          <w:p>
            <w:pPr>
              <w:spacing w:after="0"/>
            </w:pPr>
            <w:r>
              <w:rPr>
                <w:sz w:val="18"/>
              </w:rPr>
              <w:t>WEBHOOK_SECRET</w:t>
            </w:r>
          </w:p>
        </w:tc>
        <w:tc>
          <w:tcPr>
            <w:tcW w:type="dxa" w:w="5688"/>
            <w:tcMar>
              <w:top w:w="100" w:type="dxa"/>
              <w:start w:w="120" w:type="dxa"/>
              <w:bottom w:w="100" w:type="dxa"/>
              <w:end w:w="120" w:type="dxa"/>
            </w:tcMar>
            <w:vAlign w:val="center"/>
          </w:tcPr>
          <w:p>
            <w:pPr>
              <w:spacing w:after="0"/>
            </w:pPr>
            <w:r>
              <w:rPr>
                <w:sz w:val="18"/>
              </w:rPr>
              <w:t>Authenticate platform register webhook</w:t>
            </w:r>
          </w:p>
        </w:tc>
      </w:tr>
      <w:tr>
        <w:tc>
          <w:tcPr>
            <w:tcW w:type="dxa" w:w="3816"/>
            <w:tcMar>
              <w:top w:w="100" w:type="dxa"/>
              <w:start w:w="120" w:type="dxa"/>
              <w:bottom w:w="100" w:type="dxa"/>
              <w:end w:w="120" w:type="dxa"/>
            </w:tcMar>
            <w:vAlign w:val="center"/>
          </w:tcPr>
          <w:p>
            <w:pPr>
              <w:spacing w:after="0"/>
            </w:pPr>
            <w:r>
              <w:rPr>
                <w:sz w:val="18"/>
              </w:rPr>
              <w:t>LLM_API_KEY</w:t>
            </w:r>
          </w:p>
        </w:tc>
        <w:tc>
          <w:tcPr>
            <w:tcW w:type="dxa" w:w="5688"/>
            <w:tcMar>
              <w:top w:w="100" w:type="dxa"/>
              <w:start w:w="120" w:type="dxa"/>
              <w:bottom w:w="100" w:type="dxa"/>
              <w:end w:w="120" w:type="dxa"/>
            </w:tcMar>
            <w:vAlign w:val="center"/>
          </w:tcPr>
          <w:p>
            <w:pPr>
              <w:spacing w:after="0"/>
            </w:pPr>
            <w:r>
              <w:rPr>
                <w:sz w:val="18"/>
              </w:rPr>
              <w:t>Sumopod model access</w:t>
            </w:r>
          </w:p>
        </w:tc>
      </w:tr>
      <w:tr>
        <w:tc>
          <w:tcPr>
            <w:tcW w:type="dxa" w:w="3816"/>
            <w:tcMar>
              <w:top w:w="100" w:type="dxa"/>
              <w:start w:w="120" w:type="dxa"/>
              <w:bottom w:w="100" w:type="dxa"/>
              <w:end w:w="120" w:type="dxa"/>
            </w:tcMar>
            <w:vAlign w:val="center"/>
          </w:tcPr>
          <w:p>
            <w:pPr>
              <w:spacing w:after="0"/>
            </w:pPr>
            <w:r>
              <w:rPr>
                <w:sz w:val="18"/>
              </w:rPr>
              <w:t>TELEGRAM_DEFAULT_BOT_TOKEN</w:t>
            </w:r>
          </w:p>
        </w:tc>
        <w:tc>
          <w:tcPr>
            <w:tcW w:type="dxa" w:w="5688"/>
            <w:tcMar>
              <w:top w:w="100" w:type="dxa"/>
              <w:start w:w="120" w:type="dxa"/>
              <w:bottom w:w="100" w:type="dxa"/>
              <w:end w:w="120" w:type="dxa"/>
            </w:tcMar>
            <w:vAlign w:val="center"/>
          </w:tcPr>
          <w:p>
            <w:pPr>
              <w:spacing w:after="0"/>
            </w:pPr>
            <w:r>
              <w:rPr>
                <w:sz w:val="18"/>
              </w:rPr>
              <w:t>Production Company Detector bot</w:t>
            </w:r>
          </w:p>
        </w:tc>
      </w:tr>
      <w:tr>
        <w:tc>
          <w:tcPr>
            <w:tcW w:type="dxa" w:w="3816"/>
            <w:tcMar>
              <w:top w:w="100" w:type="dxa"/>
              <w:start w:w="120" w:type="dxa"/>
              <w:bottom w:w="100" w:type="dxa"/>
              <w:end w:w="120" w:type="dxa"/>
            </w:tcMar>
            <w:vAlign w:val="center"/>
          </w:tcPr>
          <w:p>
            <w:pPr>
              <w:spacing w:after="0"/>
            </w:pPr>
            <w:r>
              <w:rPr>
                <w:sz w:val="18"/>
              </w:rPr>
              <w:t>REGISTER_WORKER_TELEGRAM_TO</w:t>
            </w:r>
          </w:p>
        </w:tc>
        <w:tc>
          <w:tcPr>
            <w:tcW w:type="dxa" w:w="5688"/>
            <w:tcMar>
              <w:top w:w="100" w:type="dxa"/>
              <w:start w:w="120" w:type="dxa"/>
              <w:bottom w:w="100" w:type="dxa"/>
              <w:end w:w="120" w:type="dxa"/>
            </w:tcMar>
            <w:vAlign w:val="center"/>
          </w:tcPr>
          <w:p>
            <w:pPr>
              <w:spacing w:after="0"/>
            </w:pPr>
            <w:r>
              <w:rPr>
                <w:sz w:val="18"/>
              </w:rPr>
              <w:t>Production Telegram destination</w:t>
            </w:r>
          </w:p>
        </w:tc>
      </w:tr>
      <w:tr>
        <w:tc>
          <w:tcPr>
            <w:tcW w:type="dxa" w:w="3816"/>
            <w:tcMar>
              <w:top w:w="100" w:type="dxa"/>
              <w:start w:w="120" w:type="dxa"/>
              <w:bottom w:w="100" w:type="dxa"/>
              <w:end w:w="120" w:type="dxa"/>
            </w:tcMar>
            <w:vAlign w:val="center"/>
          </w:tcPr>
          <w:p>
            <w:pPr>
              <w:spacing w:after="0"/>
            </w:pPr>
            <w:r>
              <w:rPr>
                <w:sz w:val="18"/>
              </w:rPr>
              <w:t>SLACK_BOT_TOKEN / SLACK_REPORT_CHANNEL</w:t>
            </w:r>
          </w:p>
        </w:tc>
        <w:tc>
          <w:tcPr>
            <w:tcW w:type="dxa" w:w="5688"/>
            <w:tcMar>
              <w:top w:w="100" w:type="dxa"/>
              <w:start w:w="120" w:type="dxa"/>
              <w:bottom w:w="100" w:type="dxa"/>
              <w:end w:w="120" w:type="dxa"/>
            </w:tcMar>
            <w:vAlign w:val="center"/>
          </w:tcPr>
          <w:p>
            <w:pPr>
              <w:spacing w:after="0"/>
            </w:pPr>
            <w:r>
              <w:rPr>
                <w:sz w:val="18"/>
              </w:rPr>
              <w:t>Daily prospect digest</w:t>
            </w:r>
          </w:p>
        </w:tc>
      </w:tr>
      <w:tr>
        <w:tc>
          <w:tcPr>
            <w:tcW w:type="dxa" w:w="3816"/>
            <w:tcMar>
              <w:top w:w="100" w:type="dxa"/>
              <w:start w:w="120" w:type="dxa"/>
              <w:bottom w:w="100" w:type="dxa"/>
              <w:end w:w="120" w:type="dxa"/>
            </w:tcMar>
            <w:vAlign w:val="center"/>
          </w:tcPr>
          <w:p>
            <w:pPr>
              <w:spacing w:after="0"/>
            </w:pPr>
            <w:r>
              <w:rPr>
                <w:sz w:val="18"/>
              </w:rPr>
              <w:t>BRAVE_SEARCH_API_KEY</w:t>
            </w:r>
          </w:p>
        </w:tc>
        <w:tc>
          <w:tcPr>
            <w:tcW w:type="dxa" w:w="5688"/>
            <w:tcMar>
              <w:top w:w="100" w:type="dxa"/>
              <w:start w:w="120" w:type="dxa"/>
              <w:bottom w:w="100" w:type="dxa"/>
              <w:end w:w="120" w:type="dxa"/>
            </w:tcMar>
            <w:vAlign w:val="center"/>
          </w:tcPr>
          <w:p>
            <w:pPr>
              <w:spacing w:after="0"/>
            </w:pPr>
            <w:r>
              <w:rPr>
                <w:sz w:val="18"/>
              </w:rPr>
              <w:t>Required for VPS-equivalent search quality</w:t>
            </w:r>
          </w:p>
        </w:tc>
      </w:tr>
      <w:tr>
        <w:tc>
          <w:tcPr>
            <w:tcW w:type="dxa" w:w="3816"/>
            <w:tcMar>
              <w:top w:w="100" w:type="dxa"/>
              <w:start w:w="120" w:type="dxa"/>
              <w:bottom w:w="100" w:type="dxa"/>
              <w:end w:w="120" w:type="dxa"/>
            </w:tcMar>
            <w:vAlign w:val="center"/>
          </w:tcPr>
          <w:p>
            <w:pPr>
              <w:spacing w:after="0"/>
            </w:pPr>
            <w:r>
              <w:rPr>
                <w:sz w:val="18"/>
              </w:rPr>
              <w:t>DEEPSEEK_API_KEY / MINIMAX_API_KEY</w:t>
            </w:r>
          </w:p>
        </w:tc>
        <w:tc>
          <w:tcPr>
            <w:tcW w:type="dxa" w:w="5688"/>
            <w:tcMar>
              <w:top w:w="100" w:type="dxa"/>
              <w:start w:w="120" w:type="dxa"/>
              <w:bottom w:w="100" w:type="dxa"/>
              <w:end w:w="120" w:type="dxa"/>
            </w:tcMar>
            <w:vAlign w:val="center"/>
          </w:tcPr>
          <w:p>
            <w:pPr>
              <w:spacing w:after="0"/>
            </w:pPr>
            <w:r>
              <w:rPr>
                <w:sz w:val="18"/>
              </w:rPr>
              <w:t>VPS-equivalent fallback providers</w:t>
            </w:r>
          </w:p>
        </w:tc>
      </w:tr>
      <w:tr>
        <w:tc>
          <w:tcPr>
            <w:tcW w:type="dxa" w:w="3816"/>
            <w:tcMar>
              <w:top w:w="100" w:type="dxa"/>
              <w:start w:w="120" w:type="dxa"/>
              <w:bottom w:w="100" w:type="dxa"/>
              <w:end w:w="120" w:type="dxa"/>
            </w:tcMar>
            <w:vAlign w:val="center"/>
          </w:tcPr>
          <w:p>
            <w:pPr>
              <w:spacing w:after="0"/>
            </w:pPr>
            <w:r>
              <w:rPr>
                <w:sz w:val="18"/>
              </w:rPr>
              <w:t>Google CSE</w:t>
            </w:r>
          </w:p>
        </w:tc>
        <w:tc>
          <w:tcPr>
            <w:tcW w:type="dxa" w:w="5688"/>
            <w:tcMar>
              <w:top w:w="100" w:type="dxa"/>
              <w:start w:w="120" w:type="dxa"/>
              <w:bottom w:w="100" w:type="dxa"/>
              <w:end w:w="120" w:type="dxa"/>
            </w:tcMar>
            <w:vAlign w:val="center"/>
          </w:tcPr>
          <w:p>
            <w:pPr>
              <w:spacing w:after="0"/>
            </w:pPr>
            <w:r>
              <w:rPr>
                <w:sz w:val="18"/>
              </w:rPr>
              <w:t>Optional search fallback</w:t>
            </w:r>
          </w:p>
        </w:tc>
      </w:tr>
    </w:tbl>
    <w:p>
      <w:pPr>
        <w:spacing w:after="0"/>
      </w:pPr>
    </w:p>
    <w:p>
      <w:pPr>
        <w:pStyle w:val="Heading2"/>
      </w:pPr>
      <w:r>
        <w:t>Telegram Setup and Test Rules</w:t>
      </w:r>
    </w:p>
    <w:p>
      <w:r>
        <w:t>Install TELEGRAM_DEFAULT_BOT_TOKEN and REGISTER_WORKER_TELEGRAM_TO in the office server .env through a secure channel, then restart the worker. Do not store either value in Git or this document.</w:t>
      </w:r>
    </w:p>
    <w:p>
      <w:r>
        <w:t>The old VPS remains active during pre-cutover verification. Before final acceptance or testing manual inbound chat, stop the old VPS Telegram gateway/poller; two pollers must never use the same bot token concurrently.</w:t>
      </w:r>
    </w:p>
    <w:p>
      <w:pPr>
        <w:pStyle w:val="Heading1"/>
      </w:pPr>
      <w:r>
        <w:t>5. Initial Deployment</w:t>
      </w:r>
    </w:p>
    <w:p>
      <w:pPr>
        <w:pStyle w:val="ListNumber"/>
        <w:spacing w:after="60"/>
      </w:pPr>
      <w:r>
        <w:t>Clone the repository and select main.</w:t>
      </w:r>
    </w:p>
    <w:p>
      <w:pPr>
        <w:spacing w:before="60" w:after="140"/>
        <w:ind w:left="317" w:right="173"/>
        <w:shd w:fill="F3F4F6"/>
      </w:pPr>
      <w:r>
        <w:rPr>
          <w:rFonts w:ascii="Courier New" w:hAnsi="Courier New"/>
          <w:sz w:val="17"/>
        </w:rPr>
        <w:t>git clone https://github.com/nunutech40/company-detector-bot.git</w:t>
        <w:br/>
        <w:t>cd company-detector-bot</w:t>
        <w:br/>
        <w:t>git checkout main</w:t>
      </w:r>
    </w:p>
    <w:p>
      <w:pPr>
        <w:pStyle w:val="ListNumber"/>
        <w:spacing w:after="60"/>
      </w:pPr>
      <w:r>
        <w:t>Create the production environment file and fill real values securely.</w:t>
      </w:r>
    </w:p>
    <w:p>
      <w:pPr>
        <w:spacing w:before="60" w:after="140"/>
        <w:ind w:left="317" w:right="173"/>
        <w:shd w:fill="F3F4F6"/>
      </w:pPr>
      <w:r>
        <w:rPr>
          <w:rFonts w:ascii="Courier New" w:hAnsi="Courier New"/>
          <w:sz w:val="17"/>
        </w:rPr>
        <w:t>cp .env.docker.example .env</w:t>
        <w:br/>
        <w:t>chmod 600 .env</w:t>
      </w:r>
    </w:p>
    <w:p>
      <w:pPr>
        <w:pStyle w:val="ListNumber"/>
        <w:spacing w:after="60"/>
      </w:pPr>
      <w:r>
        <w:t>Confirm production settings before starting.</w:t>
      </w:r>
    </w:p>
    <w:p>
      <w:pPr>
        <w:spacing w:before="60" w:after="140"/>
        <w:ind w:left="317" w:right="173"/>
        <w:shd w:fill="F3F4F6"/>
      </w:pPr>
      <w:r>
        <w:rPr>
          <w:rFonts w:ascii="Courier New" w:hAnsi="Courier New"/>
          <w:sz w:val="17"/>
        </w:rPr>
        <w:t>REGISTER_WORKER_MODE=agent</w:t>
        <w:br/>
        <w:t>REGISTER_WORKER_DELIVER_TELEGRAM=true</w:t>
        <w:br/>
        <w:t>OPENCLAW_CONFIGURE=true</w:t>
        <w:br/>
        <w:t>DASHBOARD_BASE_URL=https://&lt;OFFICE_DOMAIN&gt;</w:t>
      </w:r>
    </w:p>
    <w:p>
      <w:pPr>
        <w:pStyle w:val="ListNumber"/>
        <w:spacing w:after="60"/>
      </w:pPr>
      <w:r>
        <w:t>Build and start all services.</w:t>
      </w:r>
    </w:p>
    <w:p>
      <w:pPr>
        <w:spacing w:before="60" w:after="140"/>
        <w:ind w:left="317" w:right="173"/>
        <w:shd w:fill="F3F4F6"/>
      </w:pPr>
      <w:r>
        <w:rPr>
          <w:rFonts w:ascii="Courier New" w:hAnsi="Courier New"/>
          <w:sz w:val="17"/>
        </w:rPr>
        <w:t>docker compose build</w:t>
        <w:br/>
        <w:t>docker compose up -d postgres migrate dashboard webhook worker digest</w:t>
        <w:br/>
        <w:t>docker compose ps</w:t>
      </w:r>
    </w:p>
    <w:p>
      <w:pPr>
        <w:pStyle w:val="Heading1"/>
      </w:pPr>
      <w:r>
        <w:t>6. Restore Existing Production Data</w:t>
      </w:r>
    </w:p>
    <w:p>
      <w:r>
        <w:t>The old VPS database must be restored before production cutover. Coordinate a short maintenance window to avoid losing new register jobs.</w:t>
      </w:r>
    </w:p>
    <w:p>
      <w:pPr>
        <w:spacing w:before="60" w:after="140"/>
        <w:ind w:left="317" w:right="173"/>
        <w:shd w:fill="F3F4F6"/>
      </w:pPr>
      <w:r>
        <w:rPr>
          <w:rFonts w:ascii="Courier New" w:hAnsi="Courier New"/>
          <w:sz w:val="17"/>
        </w:rPr>
        <w:t>pg_dump -Fc "$DATABASE_URL" -f company_detection.dump</w:t>
      </w:r>
    </w:p>
    <w:p>
      <w:pPr>
        <w:spacing w:before="60" w:after="140"/>
        <w:ind w:left="317" w:right="173"/>
        <w:shd w:fill="F3F4F6"/>
      </w:pPr>
      <w:r>
        <w:rPr>
          <w:rFonts w:ascii="Courier New" w:hAnsi="Courier New"/>
          <w:sz w:val="17"/>
        </w:rPr>
        <w:t>docker compose stop worker</w:t>
        <w:br/>
        <w:t>docker compose cp company_detection.dump postgres:/tmp/company_detection.dump</w:t>
        <w:br/>
        <w:t>docker compose exec -T postgres pg_restore -U company_detection -d company_detection --clean --if-exists /tmp/company_detection.dump</w:t>
        <w:br/>
        <w:t>docker compose up -d worker</w:t>
      </w:r>
    </w:p>
    <w:p>
      <w:pPr>
        <w:pStyle w:val="Heading1"/>
      </w:pPr>
      <w:r>
        <w:t>7. Mandatory Verification</w:t>
      </w:r>
    </w:p>
    <w:p>
      <w:r>
        <w:t>While the VPS remains active and the office gateway remains stopped, run:</w:t>
      </w:r>
    </w:p>
    <w:p>
      <w:pPr>
        <w:spacing w:before="60" w:after="140"/>
        <w:ind w:left="317" w:right="173"/>
        <w:shd w:fill="F3F4F6"/>
      </w:pPr>
      <w:r>
        <w:rPr>
          <w:rFonts w:ascii="Courier New" w:hAnsi="Courier New"/>
          <w:sz w:val="17"/>
        </w:rPr>
        <w:t>./ops/docker/verify-precutover.sh</w:t>
        <w:br/>
        <w:t>./ops/docker/verify-runtime-parity.sh</w:t>
      </w:r>
    </w:p>
    <w:p>
      <w:r>
        <w:t>Pre-cutover verification must report PASS for Compose, required services, webhook, dashboard, deterministic processing, database persistence, Slack digest dry-run, and Docker runtime parity.</w:t>
      </w:r>
    </w:p>
    <w:p>
      <w:r>
        <w:t>During the final cutover window, stop the VPS gateway first, start the office gateway, then run:</w:t>
      </w:r>
    </w:p>
    <w:p>
      <w:pPr>
        <w:spacing w:before="60" w:after="140"/>
        <w:ind w:left="317" w:right="173"/>
        <w:shd w:fill="F3F4F6"/>
      </w:pPr>
      <w:r>
        <w:rPr>
          <w:rFonts w:ascii="Courier New" w:hAnsi="Courier New"/>
          <w:sz w:val="17"/>
        </w:rPr>
        <w:t>docker compose up -d gateway</w:t>
        <w:br/>
        <w:t>./ops/docker/verify-deployment.sh</w:t>
      </w:r>
    </w:p>
    <w:p>
      <w:r>
        <w:t>Final acceptance must report PASS for production secrets, OpenClaw/model access, full agent queue processing, database persistence, and outbound Telegram delivery.</w:t>
      </w:r>
    </w:p>
    <w:p>
      <w:pPr>
        <w:pStyle w:val="ListBullet"/>
        <w:spacing w:after="60"/>
      </w:pPr>
      <w:r>
        <w:t>☐ Provide one real test identity when prompted.</w:t>
      </w:r>
    </w:p>
    <w:p>
      <w:pPr>
        <w:pStyle w:val="ListBullet"/>
        <w:spacing w:after="60"/>
      </w:pPr>
      <w:r>
        <w:t>☐ Confirm the resulting Company Detection Report arrives through the intended production Telegram bot.</w:t>
      </w:r>
    </w:p>
    <w:p>
      <w:pPr>
        <w:pStyle w:val="ListBullet"/>
        <w:spacing w:after="60"/>
      </w:pPr>
      <w:r>
        <w:t>☐ Confirm the test record is visible in the dashboard.</w:t>
      </w:r>
    </w:p>
    <w:p>
      <w:pPr>
        <w:pStyle w:val="ListBullet"/>
        <w:spacing w:after="60"/>
      </w:pPr>
      <w:r>
        <w:t>☐ Run a Slack --test-run and confirm the intended office channel receives it.</w:t>
      </w:r>
    </w:p>
    <w:p>
      <w:r>
        <w:t>Use a clearly named test identity so the office-server report is recognizable. Never run both Telegram gateways during final acceptance.</w:t>
      </w:r>
    </w:p>
    <w:p>
      <w:pPr>
        <w:pStyle w:val="Heading1"/>
      </w:pPr>
      <w:r>
        <w:t>8. Cutover Procedure</w:t>
      </w:r>
    </w:p>
    <w:p>
      <w:pPr>
        <w:pStyle w:val="ListNumber"/>
        <w:spacing w:after="60"/>
      </w:pPr>
      <w:r>
        <w:t>Take the final old-VPS database dump and restore it to the office server.</w:t>
      </w:r>
    </w:p>
    <w:p>
      <w:pPr>
        <w:pStyle w:val="ListNumber"/>
        <w:spacing w:after="60"/>
      </w:pPr>
      <w:r>
        <w:t>Run pre-cutover verification while the office gateway remains stopped.</w:t>
      </w:r>
    </w:p>
    <w:p>
      <w:pPr>
        <w:pStyle w:val="ListNumber"/>
        <w:spacing w:after="60"/>
      </w:pPr>
      <w:r>
        <w:t>Stop gateway, worker, webhook, and digest services on the old VPS.</w:t>
      </w:r>
    </w:p>
    <w:p>
      <w:pPr>
        <w:pStyle w:val="ListNumber"/>
        <w:spacing w:after="60"/>
      </w:pPr>
      <w:r>
        <w:t>Start the office gateway and run the final deployment acceptance test.</w:t>
      </w:r>
    </w:p>
    <w:p>
      <w:pPr>
        <w:pStyle w:val="ListNumber"/>
        <w:spacing w:after="60"/>
      </w:pPr>
      <w:r>
        <w:t>Change the platform register webhook URL to the office server HTTPS endpoint.</w:t>
      </w:r>
    </w:p>
    <w:p>
      <w:pPr>
        <w:pStyle w:val="ListNumber"/>
        <w:spacing w:after="60"/>
      </w:pPr>
      <w:r>
        <w:t>Submit one final register test and confirm database, dashboard, Telegram, and Slack.</w:t>
      </w:r>
    </w:p>
    <w:p>
      <w:pPr>
        <w:pStyle w:val="Heading1"/>
      </w:pPr>
      <w:r>
        <w:t>9. Rollback</w:t>
      </w:r>
    </w:p>
    <w:p>
      <w:r>
        <w:t>If production verification fails after cutover, point the platform webhook back to the old VPS and restart its services. Never run both production workers against the same intake flow.</w:t>
      </w:r>
    </w:p>
    <w:p>
      <w:pPr>
        <w:pStyle w:val="Heading1"/>
      </w:pPr>
      <w:r>
        <w:t>10. Sign-Off</w:t>
      </w:r>
    </w:p>
    <w:tbl>
      <w:tblPr>
        <w:tblW w:type="auto" w:w="0"/>
        <w:jc w:val="center"/>
        <w:tblLayout w:type="fixed"/>
        <w:tblLook w:firstColumn="1" w:firstRow="1" w:lastColumn="0" w:lastRow="0" w:noHBand="0" w:noVBand="1" w:val="04A0"/>
      </w:tblPr>
      <w:tblGrid>
        <w:gridCol w:w="4968"/>
        <w:gridCol w:w="4968"/>
      </w:tblGrid>
      <w:tr>
        <w:tc>
          <w:tcPr>
            <w:tcW w:type="dxa" w:w="4896"/>
            <w:shd w:fill="DCE6F1"/>
            <w:tcMar>
              <w:top w:w="100" w:type="dxa"/>
              <w:start w:w="120" w:type="dxa"/>
              <w:bottom w:w="100" w:type="dxa"/>
              <w:end w:w="120" w:type="dxa"/>
            </w:tcMar>
            <w:vAlign w:val="center"/>
          </w:tcPr>
          <w:p>
            <w:r>
              <w:rPr>
                <w:b/>
                <w:sz w:val="18"/>
              </w:rPr>
              <w:t>Acceptance item</w:t>
            </w:r>
          </w:p>
        </w:tc>
        <w:tc>
          <w:tcPr>
            <w:tcW w:type="dxa" w:w="4608"/>
            <w:shd w:fill="DCE6F1"/>
            <w:tcMar>
              <w:top w:w="100" w:type="dxa"/>
              <w:start w:w="120" w:type="dxa"/>
              <w:bottom w:w="100" w:type="dxa"/>
              <w:end w:w="120" w:type="dxa"/>
            </w:tcMar>
            <w:vAlign w:val="center"/>
          </w:tcPr>
          <w:p>
            <w:r>
              <w:rPr>
                <w:b/>
                <w:sz w:val="18"/>
              </w:rPr>
              <w:t>Result / Notes</w:t>
            </w:r>
          </w:p>
        </w:tc>
      </w:tr>
      <w:tr>
        <w:tc>
          <w:tcPr>
            <w:tcW w:type="dxa" w:w="4896"/>
            <w:tcMar>
              <w:top w:w="100" w:type="dxa"/>
              <w:start w:w="120" w:type="dxa"/>
              <w:bottom w:w="100" w:type="dxa"/>
              <w:end w:w="120" w:type="dxa"/>
            </w:tcMar>
            <w:vAlign w:val="center"/>
          </w:tcPr>
          <w:p>
            <w:pPr>
              <w:spacing w:after="0"/>
            </w:pPr>
            <w:r>
              <w:rPr>
                <w:sz w:val="18"/>
              </w:rPr>
              <w:t>All Docker services running</w:t>
            </w:r>
          </w:p>
        </w:tc>
        <w:tc>
          <w:tcPr>
            <w:tcW w:type="dxa" w:w="4608"/>
            <w:tcMar>
              <w:top w:w="100" w:type="dxa"/>
              <w:start w:w="120" w:type="dxa"/>
              <w:bottom w:w="100" w:type="dxa"/>
              <w:end w:w="120" w:type="dxa"/>
            </w:tcMar>
            <w:vAlign w:val="center"/>
          </w:tcPr>
          <w:p>
            <w:pPr>
              <w:spacing w:after="0"/>
            </w:pPr>
            <w:r>
              <w:rPr>
                <w:sz w:val="18"/>
              </w:rPr>
            </w:r>
          </w:p>
        </w:tc>
      </w:tr>
      <w:tr>
        <w:tc>
          <w:tcPr>
            <w:tcW w:type="dxa" w:w="4896"/>
            <w:tcMar>
              <w:top w:w="100" w:type="dxa"/>
              <w:start w:w="120" w:type="dxa"/>
              <w:bottom w:w="100" w:type="dxa"/>
              <w:end w:w="120" w:type="dxa"/>
            </w:tcMar>
            <w:vAlign w:val="center"/>
          </w:tcPr>
          <w:p>
            <w:pPr>
              <w:spacing w:after="0"/>
            </w:pPr>
            <w:r>
              <w:rPr>
                <w:sz w:val="18"/>
              </w:rPr>
              <w:t>Acceptance script completed</w:t>
            </w:r>
          </w:p>
        </w:tc>
        <w:tc>
          <w:tcPr>
            <w:tcW w:type="dxa" w:w="4608"/>
            <w:tcMar>
              <w:top w:w="100" w:type="dxa"/>
              <w:start w:w="120" w:type="dxa"/>
              <w:bottom w:w="100" w:type="dxa"/>
              <w:end w:w="120" w:type="dxa"/>
            </w:tcMar>
            <w:vAlign w:val="center"/>
          </w:tcPr>
          <w:p>
            <w:pPr>
              <w:spacing w:after="0"/>
            </w:pPr>
            <w:r>
              <w:rPr>
                <w:sz w:val="18"/>
              </w:rPr>
            </w:r>
          </w:p>
        </w:tc>
      </w:tr>
      <w:tr>
        <w:tc>
          <w:tcPr>
            <w:tcW w:type="dxa" w:w="4896"/>
            <w:tcMar>
              <w:top w:w="100" w:type="dxa"/>
              <w:start w:w="120" w:type="dxa"/>
              <w:bottom w:w="100" w:type="dxa"/>
              <w:end w:w="120" w:type="dxa"/>
            </w:tcMar>
            <w:vAlign w:val="center"/>
          </w:tcPr>
          <w:p>
            <w:pPr>
              <w:spacing w:after="0"/>
            </w:pPr>
            <w:r>
              <w:rPr>
                <w:sz w:val="18"/>
              </w:rPr>
              <w:t>Telegram production report received</w:t>
            </w:r>
          </w:p>
        </w:tc>
        <w:tc>
          <w:tcPr>
            <w:tcW w:type="dxa" w:w="4608"/>
            <w:tcMar>
              <w:top w:w="100" w:type="dxa"/>
              <w:start w:w="120" w:type="dxa"/>
              <w:bottom w:w="100" w:type="dxa"/>
              <w:end w:w="120" w:type="dxa"/>
            </w:tcMar>
            <w:vAlign w:val="center"/>
          </w:tcPr>
          <w:p>
            <w:pPr>
              <w:spacing w:after="0"/>
            </w:pPr>
            <w:r>
              <w:rPr>
                <w:sz w:val="18"/>
              </w:rPr>
            </w:r>
          </w:p>
        </w:tc>
      </w:tr>
      <w:tr>
        <w:tc>
          <w:tcPr>
            <w:tcW w:type="dxa" w:w="4896"/>
            <w:tcMar>
              <w:top w:w="100" w:type="dxa"/>
              <w:start w:w="120" w:type="dxa"/>
              <w:bottom w:w="100" w:type="dxa"/>
              <w:end w:w="120" w:type="dxa"/>
            </w:tcMar>
            <w:vAlign w:val="center"/>
          </w:tcPr>
          <w:p>
            <w:pPr>
              <w:spacing w:after="0"/>
            </w:pPr>
            <w:r>
              <w:rPr>
                <w:sz w:val="18"/>
              </w:rPr>
              <w:t>Dashboard record visible</w:t>
            </w:r>
          </w:p>
        </w:tc>
        <w:tc>
          <w:tcPr>
            <w:tcW w:type="dxa" w:w="4608"/>
            <w:tcMar>
              <w:top w:w="100" w:type="dxa"/>
              <w:start w:w="120" w:type="dxa"/>
              <w:bottom w:w="100" w:type="dxa"/>
              <w:end w:w="120" w:type="dxa"/>
            </w:tcMar>
            <w:vAlign w:val="center"/>
          </w:tcPr>
          <w:p>
            <w:pPr>
              <w:spacing w:after="0"/>
            </w:pPr>
            <w:r>
              <w:rPr>
                <w:sz w:val="18"/>
              </w:rPr>
            </w:r>
          </w:p>
        </w:tc>
      </w:tr>
      <w:tr>
        <w:tc>
          <w:tcPr>
            <w:tcW w:type="dxa" w:w="4896"/>
            <w:tcMar>
              <w:top w:w="100" w:type="dxa"/>
              <w:start w:w="120" w:type="dxa"/>
              <w:bottom w:w="100" w:type="dxa"/>
              <w:end w:w="120" w:type="dxa"/>
            </w:tcMar>
            <w:vAlign w:val="center"/>
          </w:tcPr>
          <w:p>
            <w:pPr>
              <w:spacing w:after="0"/>
            </w:pPr>
            <w:r>
              <w:rPr>
                <w:sz w:val="18"/>
              </w:rPr>
              <w:t>Slack test digest received</w:t>
            </w:r>
          </w:p>
        </w:tc>
        <w:tc>
          <w:tcPr>
            <w:tcW w:type="dxa" w:w="4608"/>
            <w:tcMar>
              <w:top w:w="100" w:type="dxa"/>
              <w:start w:w="120" w:type="dxa"/>
              <w:bottom w:w="100" w:type="dxa"/>
              <w:end w:w="120" w:type="dxa"/>
            </w:tcMar>
            <w:vAlign w:val="center"/>
          </w:tcPr>
          <w:p>
            <w:pPr>
              <w:spacing w:after="0"/>
            </w:pPr>
            <w:r>
              <w:rPr>
                <w:sz w:val="18"/>
              </w:rPr>
            </w:r>
          </w:p>
        </w:tc>
      </w:tr>
      <w:tr>
        <w:tc>
          <w:tcPr>
            <w:tcW w:type="dxa" w:w="4896"/>
            <w:tcMar>
              <w:top w:w="100" w:type="dxa"/>
              <w:start w:w="120" w:type="dxa"/>
              <w:bottom w:w="100" w:type="dxa"/>
              <w:end w:w="120" w:type="dxa"/>
            </w:tcMar>
            <w:vAlign w:val="center"/>
          </w:tcPr>
          <w:p>
            <w:pPr>
              <w:spacing w:after="0"/>
            </w:pPr>
            <w:r>
              <w:rPr>
                <w:sz w:val="18"/>
              </w:rPr>
              <w:t>HTTPS dashboard/webhook verified</w:t>
            </w:r>
          </w:p>
        </w:tc>
        <w:tc>
          <w:tcPr>
            <w:tcW w:type="dxa" w:w="4608"/>
            <w:tcMar>
              <w:top w:w="100" w:type="dxa"/>
              <w:start w:w="120" w:type="dxa"/>
              <w:bottom w:w="100" w:type="dxa"/>
              <w:end w:w="120" w:type="dxa"/>
            </w:tcMar>
            <w:vAlign w:val="center"/>
          </w:tcPr>
          <w:p>
            <w:pPr>
              <w:spacing w:after="0"/>
            </w:pPr>
            <w:r>
              <w:rPr>
                <w:sz w:val="18"/>
              </w:rPr>
            </w:r>
          </w:p>
        </w:tc>
      </w:tr>
      <w:tr>
        <w:tc>
          <w:tcPr>
            <w:tcW w:type="dxa" w:w="4896"/>
            <w:tcMar>
              <w:top w:w="100" w:type="dxa"/>
              <w:start w:w="120" w:type="dxa"/>
              <w:bottom w:w="100" w:type="dxa"/>
              <w:end w:w="120" w:type="dxa"/>
            </w:tcMar>
            <w:vAlign w:val="center"/>
          </w:tcPr>
          <w:p>
            <w:pPr>
              <w:spacing w:after="0"/>
            </w:pPr>
            <w:r>
              <w:rPr>
                <w:sz w:val="18"/>
              </w:rPr>
              <w:t>Database backup policy confirmed</w:t>
            </w:r>
          </w:p>
        </w:tc>
        <w:tc>
          <w:tcPr>
            <w:tcW w:type="dxa" w:w="4608"/>
            <w:tcMar>
              <w:top w:w="100" w:type="dxa"/>
              <w:start w:w="120" w:type="dxa"/>
              <w:bottom w:w="100" w:type="dxa"/>
              <w:end w:w="120" w:type="dxa"/>
            </w:tcMar>
            <w:vAlign w:val="center"/>
          </w:tcPr>
          <w:p>
            <w:pPr>
              <w:spacing w:after="0"/>
            </w:pPr>
            <w:r>
              <w:rPr>
                <w:sz w:val="18"/>
              </w:rPr>
            </w:r>
          </w:p>
        </w:tc>
      </w:tr>
      <w:tr>
        <w:tc>
          <w:tcPr>
            <w:tcW w:type="dxa" w:w="4896"/>
            <w:tcMar>
              <w:top w:w="100" w:type="dxa"/>
              <w:start w:w="120" w:type="dxa"/>
              <w:bottom w:w="100" w:type="dxa"/>
              <w:end w:w="120" w:type="dxa"/>
            </w:tcMar>
            <w:vAlign w:val="center"/>
          </w:tcPr>
          <w:p>
            <w:pPr>
              <w:spacing w:after="0"/>
            </w:pPr>
            <w:r>
              <w:rPr>
                <w:sz w:val="18"/>
              </w:rPr>
              <w:t>Approved for cutover</w:t>
            </w:r>
          </w:p>
        </w:tc>
        <w:tc>
          <w:tcPr>
            <w:tcW w:type="dxa" w:w="4608"/>
            <w:tcMar>
              <w:top w:w="100" w:type="dxa"/>
              <w:start w:w="120" w:type="dxa"/>
              <w:bottom w:w="100" w:type="dxa"/>
              <w:end w:w="120" w:type="dxa"/>
            </w:tcMar>
            <w:vAlign w:val="center"/>
          </w:tcPr>
          <w:p>
            <w:pPr>
              <w:spacing w:after="0"/>
            </w:pPr>
            <w:r>
              <w:rPr>
                <w:sz w:val="18"/>
              </w:rPr>
            </w:r>
          </w:p>
        </w:tc>
      </w:tr>
    </w:tbl>
    <w:p>
      <w:pPr>
        <w:spacing w:after="0"/>
      </w:pPr>
    </w:p>
    <w:p/>
    <w:tbl>
      <w:tblPr>
        <w:tblW w:type="auto" w:w="0"/>
        <w:jc w:val="center"/>
        <w:tblLayout w:type="fixed"/>
        <w:tblLook w:firstColumn="1" w:firstRow="1" w:lastColumn="0" w:lastRow="0" w:noHBand="0" w:noVBand="1" w:val="04A0"/>
      </w:tblPr>
      <w:tblGrid>
        <w:gridCol w:w="4968"/>
        <w:gridCol w:w="4968"/>
      </w:tblGrid>
      <w:tr>
        <w:tc>
          <w:tcPr>
            <w:tcW w:type="dxa" w:w="3888"/>
            <w:shd w:fill="DCE6F1"/>
            <w:tcMar>
              <w:top w:w="100" w:type="dxa"/>
              <w:start w:w="120" w:type="dxa"/>
              <w:bottom w:w="100" w:type="dxa"/>
              <w:end w:w="120" w:type="dxa"/>
            </w:tcMar>
            <w:vAlign w:val="center"/>
          </w:tcPr>
          <w:p>
            <w:r>
              <w:rPr>
                <w:b/>
                <w:sz w:val="18"/>
              </w:rPr>
              <w:t>Role</w:t>
            </w:r>
          </w:p>
        </w:tc>
        <w:tc>
          <w:tcPr>
            <w:tcW w:type="dxa" w:w="5616"/>
            <w:shd w:fill="DCE6F1"/>
            <w:tcMar>
              <w:top w:w="100" w:type="dxa"/>
              <w:start w:w="120" w:type="dxa"/>
              <w:bottom w:w="100" w:type="dxa"/>
              <w:end w:w="120" w:type="dxa"/>
            </w:tcMar>
            <w:vAlign w:val="center"/>
          </w:tcPr>
          <w:p>
            <w:r>
              <w:rPr>
                <w:b/>
                <w:sz w:val="18"/>
              </w:rPr>
              <w:t>Name / Date / Signature</w:t>
            </w:r>
          </w:p>
        </w:tc>
      </w:tr>
      <w:tr>
        <w:tc>
          <w:tcPr>
            <w:tcW w:type="dxa" w:w="3888"/>
            <w:tcMar>
              <w:top w:w="100" w:type="dxa"/>
              <w:start w:w="120" w:type="dxa"/>
              <w:bottom w:w="100" w:type="dxa"/>
              <w:end w:w="120" w:type="dxa"/>
            </w:tcMar>
            <w:vAlign w:val="center"/>
          </w:tcPr>
          <w:p>
            <w:pPr>
              <w:spacing w:after="0"/>
            </w:pPr>
            <w:r>
              <w:rPr>
                <w:sz w:val="18"/>
              </w:rPr>
              <w:t>Office deployment engineer</w:t>
            </w:r>
          </w:p>
        </w:tc>
        <w:tc>
          <w:tcPr>
            <w:tcW w:type="dxa" w:w="5616"/>
            <w:tcMar>
              <w:top w:w="100" w:type="dxa"/>
              <w:start w:w="120" w:type="dxa"/>
              <w:bottom w:w="100" w:type="dxa"/>
              <w:end w:w="120" w:type="dxa"/>
            </w:tcMar>
            <w:vAlign w:val="center"/>
          </w:tcPr>
          <w:p>
            <w:pPr>
              <w:spacing w:after="0"/>
            </w:pPr>
            <w:r>
              <w:rPr>
                <w:sz w:val="18"/>
              </w:rPr>
            </w:r>
          </w:p>
        </w:tc>
      </w:tr>
      <w:tr>
        <w:tc>
          <w:tcPr>
            <w:tcW w:type="dxa" w:w="3888"/>
            <w:tcMar>
              <w:top w:w="100" w:type="dxa"/>
              <w:start w:w="120" w:type="dxa"/>
              <w:bottom w:w="100" w:type="dxa"/>
              <w:end w:w="120" w:type="dxa"/>
            </w:tcMar>
            <w:vAlign w:val="center"/>
          </w:tcPr>
          <w:p>
            <w:pPr>
              <w:spacing w:after="0"/>
            </w:pPr>
            <w:r>
              <w:rPr>
                <w:sz w:val="18"/>
              </w:rPr>
              <w:t>System owner / acceptance tester</w:t>
            </w:r>
          </w:p>
        </w:tc>
        <w:tc>
          <w:tcPr>
            <w:tcW w:type="dxa" w:w="5616"/>
            <w:tcMar>
              <w:top w:w="100" w:type="dxa"/>
              <w:start w:w="120" w:type="dxa"/>
              <w:bottom w:w="100" w:type="dxa"/>
              <w:end w:w="120" w:type="dxa"/>
            </w:tcMar>
            <w:vAlign w:val="center"/>
          </w:tcPr>
          <w:p>
            <w:pPr>
              <w:spacing w:after="0"/>
            </w:pPr>
            <w:r>
              <w:rPr>
                <w:sz w:val="18"/>
              </w:rPr>
            </w:r>
          </w:p>
        </w:tc>
      </w:tr>
      <w:tr>
        <w:tc>
          <w:tcPr>
            <w:tcW w:type="dxa" w:w="3888"/>
            <w:tcMar>
              <w:top w:w="100" w:type="dxa"/>
              <w:start w:w="120" w:type="dxa"/>
              <w:bottom w:w="100" w:type="dxa"/>
              <w:end w:w="120" w:type="dxa"/>
            </w:tcMar>
            <w:vAlign w:val="center"/>
          </w:tcPr>
          <w:p>
            <w:pPr>
              <w:spacing w:after="0"/>
            </w:pPr>
            <w:r>
              <w:rPr>
                <w:sz w:val="18"/>
              </w:rPr>
              <w:t>Platform webhook owner</w:t>
            </w:r>
          </w:p>
        </w:tc>
        <w:tc>
          <w:tcPr>
            <w:tcW w:type="dxa" w:w="5616"/>
            <w:tcMar>
              <w:top w:w="100" w:type="dxa"/>
              <w:start w:w="120" w:type="dxa"/>
              <w:bottom w:w="100" w:type="dxa"/>
              <w:end w:w="120" w:type="dxa"/>
            </w:tcMar>
            <w:vAlign w:val="center"/>
          </w:tcPr>
          <w:p>
            <w:pPr>
              <w:spacing w:after="0"/>
            </w:pPr>
            <w:r>
              <w:rPr>
                <w:sz w:val="18"/>
              </w:rPr>
            </w:r>
          </w:p>
        </w:tc>
      </w:tr>
    </w:tbl>
    <w:p>
      <w:pPr>
        <w:spacing w:after="0"/>
      </w:pP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deployment handover • No secret values included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6B7280"/>
        <w:sz w:val="16"/>
      </w:rPr>
      <w:t>COMPANY DETECTOR  |  OFFICE DEPLOYMENT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5E8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5E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