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Company Detector Docker Deployment Handover</w:t>
      </w:r>
    </w:p>
    <w:p>
      <w:pPr>
        <w:pStyle w:val="Subtitle"/>
      </w:pPr>
      <w:r>
        <w:t>Server kantor handover package | Updated 2026-07-15</w:t>
      </w:r>
    </w:p>
    <w:p>
      <w:r>
        <w:t>Tujuan dokumen ini adalah memberi engineer kantor satu jalur deployment yang jelas untuk menggantikan VPS lama dengan bundle Docker. Secret asli tidak boleh ditulis di dokumen ini.</w:t>
      </w:r>
    </w:p>
    <w:p>
      <w:pPr>
        <w:pStyle w:val="Heading1"/>
      </w:pPr>
      <w:r>
        <w:t>Executive Summary</w:t>
      </w:r>
    </w:p>
    <w:p>
      <w:pPr>
        <w:pStyle w:val="ListBullet"/>
      </w:pPr>
      <w:r>
        <w:t>Runtime target adalah Docker Compose di server kantor, bukan deploy.sh/systemd VPS.</w:t>
      </w:r>
    </w:p>
    <w:p>
      <w:pPr>
        <w:pStyle w:val="ListBullet"/>
      </w:pPr>
      <w:r>
        <w:t>Docker lokal sudah memproses smoke job Brand Prospect melalui OpenClaw agent, menyimpan hasil ke PostgreSQL, dan gateway Telegram berstatus OK.</w:t>
      </w:r>
    </w:p>
    <w:p>
      <w:pPr>
        <w:pStyle w:val="ListBullet"/>
      </w:pPr>
      <w:r>
        <w:t>Server kantor tidak bergantung ke VPS lama setelah cutover, tetapi tetap membutuhkan akses outbound ke 9Router, Telegram, Slack, Meta Graph API jika feedback monitor aktif, dan provider search/enrichment.</w:t>
      </w:r>
    </w:p>
    <w:p>
      <w:pPr>
        <w:pStyle w:val="ListBullet"/>
      </w:pPr>
      <w:r>
        <w:t>9Router tetap wajib untuk mode production agent: LLM_PROVIDER=9router, LLM_PRIMARY_MODEL=9router/komerce-1.2.</w:t>
      </w:r>
    </w:p>
    <w:p>
      <w:pPr>
        <w:pStyle w:val="ListBullet"/>
      </w:pPr>
      <w:r>
        <w:t>PUBLIC_WEBHOOK_URL harus diarahkan ke reverse proxy server kantor. Jangan biarkan platform register masih mengirim ke VPS lama saat worker VPS sudah mati.</w:t>
      </w:r>
    </w:p>
    <w:p>
      <w:pPr>
        <w:pStyle w:val="Heading1"/>
      </w:pPr>
      <w:r>
        <w:t>Services In The Docker Bundle</w:t>
      </w:r>
    </w:p>
    <w:tbl>
      <w:tblPr>
        <w:tblW w:w="9000" w:type="dxa"/>
        <w:tblBorders>
          <w:top w:val="single" w:sz="4" w:color="D9E2EC"/>
          <w:left w:val="single" w:sz="4" w:color="D9E2EC"/>
          <w:bottom w:val="single" w:sz="4" w:color="D9E2EC"/>
          <w:right w:val="single" w:sz="4" w:color="D9E2EC"/>
          <w:insideH w:val="single" w:sz="4" w:color="D9E2EC"/>
          <w:insideV w:val="single" w:sz="4" w:color="D9E2EC"/>
        </w:tblBorders>
      </w:tblPr>
      <w:tblGrid>
        <w:gridCol w:w="3000"/>
        <w:gridCol w:w="3000"/>
        <w:gridCol w:w="3000"/>
      </w:tblGrid>
      <w:tr>
        <w:tc>
          <w:tcPr>
            <w:tcW w:w="3000" w:type="dxa"/>
            <w:shd w:fill="EAF2F8"/>
          </w:tcPr>
          <w:p>
            <w:r>
              <w:rPr>
                <w:b/>
              </w:rPr>
              <w:t>Service</w:t>
            </w:r>
          </w:p>
        </w:tc>
        <w:tc>
          <w:tcPr>
            <w:tcW w:w="3000" w:type="dxa"/>
            <w:shd w:fill="EAF2F8"/>
          </w:tcPr>
          <w:p>
            <w:r>
              <w:rPr>
                <w:b/>
              </w:rPr>
              <w:t>Purpose</w:t>
            </w:r>
          </w:p>
        </w:tc>
        <w:tc>
          <w:tcPr>
            <w:tcW w:w="3000" w:type="dxa"/>
            <w:shd w:fill="EAF2F8"/>
          </w:tcPr>
          <w:p>
            <w:r>
              <w:rPr>
                <w:b/>
              </w:rPr>
              <w:t>Acceptance</w:t>
            </w:r>
          </w:p>
        </w:tc>
      </w:tr>
      <w:tr>
        <w:tc>
          <w:tcPr>
            <w:tcW w:w="3000" w:type="dxa"/>
          </w:tcPr>
          <w:p>
            <w:r>
              <w:rPr/>
              <w:t>postgres</w:t>
            </w:r>
          </w:p>
        </w:tc>
        <w:tc>
          <w:tcPr>
            <w:tcW w:w="3000" w:type="dxa"/>
          </w:tcPr>
          <w:p>
            <w:r>
              <w:rPr/>
              <w:t>PostgreSQL 16 database or replaceable by office-managed PostgreSQL</w:t>
            </w:r>
          </w:p>
        </w:tc>
        <w:tc>
          <w:tcPr>
            <w:tcW w:w="3000" w:type="dxa"/>
          </w:tcPr>
          <w:p>
            <w:r>
              <w:rPr/>
              <w:t>DB health and migrations pass</w:t>
            </w:r>
          </w:p>
        </w:tc>
      </w:tr>
      <w:tr>
        <w:tc>
          <w:tcPr>
            <w:tcW w:w="3000" w:type="dxa"/>
          </w:tcPr>
          <w:p>
            <w:r>
              <w:rPr/>
              <w:t>dashboard</w:t>
            </w:r>
          </w:p>
        </w:tc>
        <w:tc>
          <w:tcPr>
            <w:tcW w:w="3000" w:type="dxa"/>
          </w:tcPr>
          <w:p>
            <w:r>
              <w:rPr/>
              <w:t>Sales sheet and investigation dashboard on port 3001</w:t>
            </w:r>
          </w:p>
        </w:tc>
        <w:tc>
          <w:tcPr>
            <w:tcW w:w="3000" w:type="dxa"/>
          </w:tcPr>
          <w:p>
            <w:r>
              <w:rPr/>
              <w:t>/sales-sheet reachable</w:t>
            </w:r>
          </w:p>
        </w:tc>
      </w:tr>
      <w:tr>
        <w:tc>
          <w:tcPr>
            <w:tcW w:w="3000" w:type="dxa"/>
          </w:tcPr>
          <w:p>
            <w:r>
              <w:rPr/>
              <w:t>webhook</w:t>
            </w:r>
          </w:p>
        </w:tc>
        <w:tc>
          <w:tcPr>
            <w:tcW w:w="3000" w:type="dxa"/>
          </w:tcPr>
          <w:p>
            <w:r>
              <w:rPr/>
              <w:t>Register intake API on port 3002</w:t>
            </w:r>
          </w:p>
        </w:tc>
        <w:tc>
          <w:tcPr>
            <w:tcW w:w="3000" w:type="dxa"/>
          </w:tcPr>
          <w:p>
            <w:r>
              <w:rPr/>
              <w:t>/health reachable and /webhook/check queues rows</w:t>
            </w:r>
          </w:p>
        </w:tc>
      </w:tr>
      <w:tr>
        <w:tc>
          <w:tcPr>
            <w:tcW w:w="3000" w:type="dxa"/>
          </w:tcPr>
          <w:p>
            <w:r>
              <w:rPr/>
              <w:t>worker</w:t>
            </w:r>
          </w:p>
        </w:tc>
        <w:tc>
          <w:tcPr>
            <w:tcW w:w="3000" w:type="dxa"/>
          </w:tcPr>
          <w:p>
            <w:r>
              <w:rPr/>
              <w:t>Sequential Brand Prospect queue worker</w:t>
            </w:r>
          </w:p>
        </w:tc>
        <w:tc>
          <w:tcPr>
            <w:tcW w:w="3000" w:type="dxa"/>
          </w:tcPr>
          <w:p>
            <w:r>
              <w:rPr/>
              <w:t>agent smoke job completes</w:t>
            </w:r>
          </w:p>
        </w:tc>
      </w:tr>
      <w:tr>
        <w:tc>
          <w:tcPr>
            <w:tcW w:w="3000" w:type="dxa"/>
          </w:tcPr>
          <w:p>
            <w:r>
              <w:rPr/>
              <w:t>gateway</w:t>
            </w:r>
          </w:p>
        </w:tc>
        <w:tc>
          <w:tcPr>
            <w:tcW w:w="3000" w:type="dxa"/>
          </w:tcPr>
          <w:p>
            <w:r>
              <w:rPr/>
              <w:t>OpenClaw Telegram/manual investigation gateway</w:t>
            </w:r>
          </w:p>
        </w:tc>
        <w:tc>
          <w:tcPr>
            <w:tcW w:w="3000" w:type="dxa"/>
          </w:tcPr>
          <w:p>
            <w:r>
              <w:rPr/>
              <w:t>openclaw status shows Telegram OK</w:t>
            </w:r>
          </w:p>
        </w:tc>
      </w:tr>
      <w:tr>
        <w:tc>
          <w:tcPr>
            <w:tcW w:w="3000" w:type="dxa"/>
          </w:tcPr>
          <w:p>
            <w:r>
              <w:rPr/>
              <w:t>digest</w:t>
            </w:r>
          </w:p>
        </w:tc>
        <w:tc>
          <w:tcPr>
            <w:tcW w:w="3000" w:type="dxa"/>
          </w:tcPr>
          <w:p>
            <w:r>
              <w:rPr/>
              <w:t>Slack prospect digest scheduler</w:t>
            </w:r>
          </w:p>
        </w:tc>
        <w:tc>
          <w:tcPr>
            <w:tcW w:w="3000" w:type="dxa"/>
          </w:tcPr>
          <w:p>
            <w:r>
              <w:rPr/>
              <w:t>dry-run/test-run succeeds</w:t>
            </w:r>
          </w:p>
        </w:tc>
      </w:tr>
      <w:tr>
        <w:tc>
          <w:tcPr>
            <w:tcW w:w="3000" w:type="dxa"/>
          </w:tcPr>
          <w:p>
            <w:r>
              <w:rPr/>
              <w:t>feedback-monitor-worker</w:t>
            </w:r>
          </w:p>
        </w:tc>
        <w:tc>
          <w:tcPr>
            <w:tcW w:w="3000" w:type="dxa"/>
          </w:tcPr>
          <w:p>
            <w:r>
              <w:rPr/>
              <w:t>Meta negative comment polling and classifier</w:t>
            </w:r>
          </w:p>
        </w:tc>
        <w:tc>
          <w:tcPr>
            <w:tcW w:w="3000" w:type="dxa"/>
          </w:tcPr>
          <w:p>
            <w:r>
              <w:rPr/>
              <w:t>poll-meta pages successful and drains queue</w:t>
            </w:r>
          </w:p>
        </w:tc>
      </w:tr>
    </w:tbl>
    <w:p>
      <w:pPr>
        <w:pStyle w:val="Heading1"/>
      </w:pPr>
      <w:r>
        <w:t>Required .env Values</w:t>
      </w:r>
    </w:p>
    <w:p>
      <w:pPr>
        <w:pStyle w:val="CodeBlock"/>
      </w:pPr>
      <w:r>
        <w:t xml:space="preserve">POSTGRES_PASSWORD=...</w:t>
      </w:r>
    </w:p>
    <w:p>
      <w:pPr>
        <w:pStyle w:val="CodeBlock"/>
      </w:pPr>
      <w:r>
        <w:t xml:space="preserve">WEBHOOK_SECRET=...</w:t>
      </w:r>
    </w:p>
    <w:p>
      <w:pPr>
        <w:pStyle w:val="CodeBlock"/>
      </w:pPr>
      <w:r>
        <w:t xml:space="preserve">DASHBOARD_BASE_URL=https://&lt;SERVER_DOMAIN&gt;</w:t>
      </w:r>
    </w:p>
    <w:p>
      <w:pPr>
        <w:pStyle w:val="CodeBlock"/>
      </w:pPr>
      <w:r>
        <w:t xml:space="preserve">DASHBOARD_PUBLIC_BASE_URL=https://&lt;SERVER_DOMAIN&gt;</w:t>
      </w:r>
    </w:p>
    <w:p>
      <w:pPr>
        <w:pStyle w:val="CodeBlock"/>
      </w:pPr>
      <w:r>
        <w:t xml:space="preserve">PUBLIC_WEBHOOK_URL=https://&lt;SERVER_DOMAIN&gt;/webhook/check</w:t>
      </w:r>
    </w:p>
    <w:p>
      <w:pPr>
        <w:pStyle w:val="CodeBlock"/>
      </w:pPr>
      <w:r>
        <w:t xml:space="preserve">OPENCLAW_CONFIGURE=true</w:t>
      </w:r>
    </w:p>
    <w:p>
      <w:pPr>
        <w:pStyle w:val="CodeBlock"/>
      </w:pPr>
      <w:r>
        <w:t xml:space="preserve">OPENCLAW_GATEWAY_AUTH_TOKEN=&lt;long random token&gt;</w:t>
      </w:r>
    </w:p>
    <w:p>
      <w:pPr>
        <w:pStyle w:val="CodeBlock"/>
      </w:pPr>
      <w:r>
        <w:t xml:space="preserve">LLM_PROVIDER=9router</w:t>
      </w:r>
    </w:p>
    <w:p>
      <w:pPr>
        <w:pStyle w:val="CodeBlock"/>
      </w:pPr>
      <w:r>
        <w:t xml:space="preserve">LLM_BASE_URL=https://9router.komerce-tech.id/v1</w:t>
      </w:r>
    </w:p>
    <w:p>
      <w:pPr>
        <w:pStyle w:val="CodeBlock"/>
      </w:pPr>
      <w:r>
        <w:t xml:space="preserve">LLM_API_KEY=&lt;9router token or approved placeholder&gt;</w:t>
      </w:r>
    </w:p>
    <w:p>
      <w:pPr>
        <w:pStyle w:val="CodeBlock"/>
      </w:pPr>
      <w:r>
        <w:t xml:space="preserve">LLM_PRIMARY_MODEL=9router/komerce-1.2</w:t>
      </w:r>
    </w:p>
    <w:p>
      <w:pPr>
        <w:pStyle w:val="CodeBlock"/>
      </w:pPr>
      <w:r>
        <w:t xml:space="preserve">LLM_MODEL_ID=komerce-1.2</w:t>
      </w:r>
    </w:p>
    <w:p>
      <w:pPr>
        <w:pStyle w:val="CodeBlock"/>
      </w:pPr>
      <w:r>
        <w:t xml:space="preserve">REGISTER_WORKER_MODE=agent</w:t>
      </w:r>
    </w:p>
    <w:p>
      <w:pPr>
        <w:pStyle w:val="CodeBlock"/>
      </w:pPr>
      <w:r>
        <w:t xml:space="preserve">REGISTER_WORKER_DELIVER_TELEGRAM=true</w:t>
      </w:r>
    </w:p>
    <w:p>
      <w:pPr>
        <w:pStyle w:val="CodeBlock"/>
      </w:pPr>
      <w:r>
        <w:t xml:space="preserve">TELEGRAM_DEFAULT_BOT_TOKEN=...</w:t>
      </w:r>
    </w:p>
    <w:p>
      <w:pPr>
        <w:pStyle w:val="CodeBlock"/>
      </w:pPr>
      <w:r>
        <w:t xml:space="preserve">TELEGRAM_ALLOW_FROM=...</w:t>
      </w:r>
    </w:p>
    <w:p>
      <w:pPr>
        <w:pStyle w:val="CodeBlock"/>
      </w:pPr>
      <w:r>
        <w:t xml:space="preserve">REGISTER_WORKER_TELEGRAM_TO=...</w:t>
      </w:r>
    </w:p>
    <w:p>
      <w:pPr>
        <w:pStyle w:val="CodeBlock"/>
      </w:pPr>
      <w:r>
        <w:t xml:space="preserve">SLACK_BOT_TOKEN=...</w:t>
      </w:r>
    </w:p>
    <w:p>
      <w:pPr>
        <w:pStyle w:val="CodeBlock"/>
      </w:pPr>
      <w:r>
        <w:t xml:space="preserve">SLACK_REPORT_CHANNEL=...</w:t>
      </w:r>
    </w:p>
    <w:p>
      <w:pPr>
        <w:pStyle w:val="CodeBlock"/>
      </w:pPr>
      <w:r>
        <w:t xml:space="preserve">BRAVE_SEARCH_API_KEY=...</w:t>
      </w:r>
    </w:p>
    <w:p>
      <w:pPr>
        <w:pStyle w:val="CodeBlock"/>
      </w:pPr>
      <w:r>
        <w:t xml:space="preserve">DEEPSEEK_API_KEY=...  # optional fallback</w:t>
      </w:r>
    </w:p>
    <w:p>
      <w:pPr>
        <w:pStyle w:val="CodeBlock"/>
      </w:pPr>
      <w:r>
        <w:t xml:space="preserve">MINIMAX_API_KEY=...</w:t>
      </w:r>
    </w:p>
    <w:p>
      <w:pPr>
        <w:pStyle w:val="Heading1"/>
      </w:pPr>
      <w:r>
        <w:t>Cutover Order</w:t>
      </w:r>
    </w:p>
    <w:p>
      <w:pPr>
        <w:pStyle w:val="ListNumber"/>
      </w:pPr>
      <w:r>
        <w:t>1. Clone/pull repository main on the office server.</w:t>
      </w:r>
    </w:p>
    <w:p>
      <w:pPr>
        <w:pStyle w:val="ListNumber"/>
      </w:pPr>
      <w:r>
        <w:t>2. Create .env from .env.docker.example and install secrets through secure channel only.</w:t>
      </w:r>
    </w:p>
    <w:p>
      <w:pPr>
        <w:pStyle w:val="ListNumber"/>
      </w:pPr>
      <w:r>
        <w:t>3. Run docker compose build and docker compose up -d postgres migrate dashboard webhook worker digest.</w:t>
      </w:r>
    </w:p>
    <w:p>
      <w:pPr>
        <w:pStyle w:val="ListNumber"/>
      </w:pPr>
      <w:r>
        <w:t>4. Run ./ops/docker/verify-precutover.sh while gateway is still off.</w:t>
      </w:r>
    </w:p>
    <w:p>
      <w:pPr>
        <w:pStyle w:val="ListNumber"/>
      </w:pPr>
      <w:r>
        <w:t>5. Restore final production database dump if historical data must move.</w:t>
      </w:r>
    </w:p>
    <w:p>
      <w:pPr>
        <w:pStyle w:val="ListNumber"/>
      </w:pPr>
      <w:r>
        <w:t>6. Confirm old VPS queue has no normal backlog before cutover.</w:t>
      </w:r>
    </w:p>
    <w:p>
      <w:pPr>
        <w:pStyle w:val="ListNumber"/>
      </w:pPr>
      <w:r>
        <w:t>7. Stop old VPS gateway, register worker, feedback worker, feedback poller timer, Slack digest timer, and old webhook if platform URL is moving.</w:t>
      </w:r>
    </w:p>
    <w:p>
      <w:pPr>
        <w:pStyle w:val="ListNumber"/>
      </w:pPr>
      <w:r>
        <w:t>8. Start office gateway, then run ./ops/docker/verify-deployment.sh and confirm Telegram receives the Company Detection Report.</w:t>
      </w:r>
    </w:p>
    <w:p>
      <w:pPr>
        <w:pStyle w:val="ListNumber"/>
      </w:pPr>
      <w:r>
        <w:t>9. Point the Komerce platform register webhook to PUBLIC_WEBHOOK_URL on the office server.</w:t>
      </w:r>
    </w:p>
    <w:p>
      <w:pPr>
        <w:pStyle w:val="ListNumber"/>
      </w:pPr>
      <w:r>
        <w:t>10. Run ./ops/docker/verify-public-routing.sh and confirm the probe lands in the office database, not the old VPS database.</w:t>
      </w:r>
    </w:p>
    <w:p>
      <w:pPr>
        <w:pStyle w:val="ListNumber"/>
      </w:pPr>
      <w:r>
        <w:t>11. Run feedback monitor poll-meta if negative social monitoring is in scope.</w:t>
      </w:r>
    </w:p>
    <w:p>
      <w:pPr>
        <w:pStyle w:val="Heading1"/>
      </w:pPr>
      <w:r>
        <w:t>Public Routing Guard</w:t>
      </w:r>
    </w:p>
    <w:p>
      <w:r>
        <w:t>The most important failure to avoid is a split cutover: old VPS worker stopped, but old VPS webhook still receiving platform traffic. In that state jobs are accepted into the old database and remain pending. The guard script prevents this by rejecting old VPS/localhost URLs and posting a probe through PUBLIC_WEBHOOK_URL.</w:t>
      </w:r>
    </w:p>
    <w:p>
      <w:pPr>
        <w:pStyle w:val="CodeBlock"/>
      </w:pPr>
      <w:r>
        <w:t xml:space="preserve">chmod +x ops/docker/verify-public-routing.sh</w:t>
      </w:r>
    </w:p>
    <w:p>
      <w:pPr>
        <w:pStyle w:val="CodeBlock"/>
      </w:pPr>
      <w:r>
        <w:t xml:space="preserve">./ops/docker/verify-public-routing.sh</w:t>
      </w:r>
    </w:p>
    <w:p>
      <w:pPr>
        <w:pStyle w:val="Heading1"/>
      </w:pPr>
      <w:r>
        <w:t>Acceptance Criteria</w:t>
      </w:r>
    </w:p>
    <w:p>
      <w:pPr>
        <w:pStyle w:val="ListBullet"/>
      </w:pPr>
      <w:r>
        <w:t>docker compose ps shows postgres, dashboard, webhook, worker, gateway, and digest running.</w:t>
      </w:r>
    </w:p>
    <w:p>
      <w:pPr>
        <w:pStyle w:val="ListBullet"/>
      </w:pPr>
      <w:r>
        <w:t>openclaw status --deep shows gateway reachable and Telegram ON/OK.</w:t>
      </w:r>
    </w:p>
    <w:p>
      <w:pPr>
        <w:pStyle w:val="ListBullet"/>
      </w:pPr>
      <w:r>
        <w:t>verify-deployment.sh completes a full agent investigation and saves it to PostgreSQL.</w:t>
      </w:r>
    </w:p>
    <w:p>
      <w:pPr>
        <w:pStyle w:val="ListBullet"/>
      </w:pPr>
      <w:r>
        <w:t>Company Detection Report arrives in the production Telegram destination.</w:t>
      </w:r>
    </w:p>
    <w:p>
      <w:pPr>
        <w:pStyle w:val="ListBullet"/>
      </w:pPr>
      <w:r>
        <w:t>Slack digest dry-run/test-run reaches the intended office channel.</w:t>
      </w:r>
    </w:p>
    <w:p>
      <w:pPr>
        <w:pStyle w:val="ListBullet"/>
      </w:pPr>
      <w:r>
        <w:t>verify-public-routing.sh passes after the platform webhook is changed.</w:t>
      </w:r>
    </w:p>
    <w:p>
      <w:pPr>
        <w:pStyle w:val="ListBullet"/>
      </w:pPr>
      <w:r>
        <w:t>feedback monitor poll-meta succeeds for Meta pages if the monitor is enabled.</w:t>
      </w:r>
    </w:p>
    <w:p>
      <w:pPr>
        <w:pStyle w:val="Heading1"/>
      </w:pPr>
      <w:r>
        <w:t>Common Build Error</w:t>
      </w:r>
    </w:p>
    <w:p>
      <w:r>
        <w:t>If DevOps sees go-services/cmd/main.go or missing internal/evidence, the server is using stale source or a wrong Dockerfile. The active path is go-service/cmd/company-check/main.go and go-service/internal/evidence/evidence.go. Build from repository root with docker compose build.</w:t>
      </w:r>
    </w:p>
    <w:p>
      <w:pPr>
        <w:pStyle w:val="Heading1"/>
      </w:pPr>
      <w:r>
        <w:t>Source Documents</w:t>
      </w:r>
    </w:p>
    <w:p>
      <w:pPr>
        <w:pStyle w:val="ListBullet"/>
      </w:pPr>
      <w:r>
        <w:t>docs/technical/DOCKER_DEPLOYMENT_RUNBOOK.md</w:t>
      </w:r>
    </w:p>
    <w:p>
      <w:pPr>
        <w:pStyle w:val="ListBullet"/>
      </w:pPr>
      <w:r>
        <w:t>docs/operations/OWNER_OFFICE_DEPLOYMENT_GUIDE.md</w:t>
      </w:r>
    </w:p>
    <w:p>
      <w:pPr>
        <w:pStyle w:val="ListBullet"/>
      </w:pPr>
      <w:r>
        <w:t>docs/technical/DEPLOYMENT_SECRETS_HANDOVER.md</w:t>
      </w:r>
    </w:p>
    <w:p>
      <w:pPr>
        <w:pStyle w:val="ListBullet"/>
      </w:pPr>
      <w:r>
        <w:t>docs/technical/VPS_DOCKER_PARITY_AUDIT.md</w:t>
      </w:r>
    </w:p>
    <w:sectPr>
      <w:pgSz w:w="12240" w:h="15840"/>
      <w:pgMar w:top="1080" w:right="1080" w:bottom="1080" w:left="1080" w:header="720" w:footer="720" w:gutter="0"/>
    </w:sectPr>
  </w:body>
</w:document>
</file>

<file path=word/styles.xml><?xml version="1.0" encoding="utf-8"?>
<w:styles xmlns:w="http://schemas.openxmlformats.org/wordprocessingml/2006/main">
  <w:style w:type="paragraph" w:default="1" w:styleId="Normal">
    <w:name w:val="Normal"/>
    <w:qFormat/>
    <w:rPr>
      <w:rFonts w:ascii="Arial" w:hAnsi="Arial"/>
      <w:sz w:val="21"/>
    </w:rPr>
    <w:pPr>
      <w:spacing w:after="120" w:line="276" w:lineRule="auto"/>
    </w:pPr>
  </w:style>
  <w:style w:type="paragraph" w:styleId="Title">
    <w:name w:val="Title"/>
    <w:basedOn w:val="Normal"/>
    <w:qFormat/>
    <w:rPr>
      <w:b/>
      <w:color w:val="1F4E79"/>
      <w:sz w:val="36"/>
    </w:rPr>
    <w:pPr>
      <w:spacing w:before="0" w:after="180"/>
    </w:pPr>
  </w:style>
  <w:style w:type="paragraph" w:styleId="Subtitle">
    <w:name w:val="Subtitle"/>
    <w:basedOn w:val="Normal"/>
    <w:qFormat/>
    <w:rPr>
      <w:color w:val="666666"/>
      <w:sz w:val="22"/>
    </w:rPr>
    <w:pPr>
      <w:spacing w:after="300"/>
    </w:pPr>
  </w:style>
  <w:style w:type="paragraph" w:styleId="Heading1">
    <w:name w:val="heading 1"/>
    <w:basedOn w:val="Normal"/>
    <w:qFormat/>
    <w:rPr>
      <w:b/>
      <w:color w:val="1F4E79"/>
      <w:sz w:val="28"/>
    </w:rPr>
    <w:pPr>
      <w:spacing w:before="300" w:after="120"/>
    </w:pPr>
  </w:style>
  <w:style w:type="paragraph" w:styleId="ListBullet">
    <w:name w:val="List Bullet"/>
    <w:basedOn w:val="Normal"/>
    <w:pPr>
      <w:ind w:left="420" w:hanging="220"/>
    </w:pPr>
  </w:style>
  <w:style w:type="paragraph" w:styleId="ListNumber">
    <w:name w:val="List Number"/>
    <w:basedOn w:val="Normal"/>
    <w:pPr>
      <w:ind w:left="420" w:hanging="220"/>
    </w:pPr>
  </w:style>
  <w:style w:type="paragraph" w:styleId="CodeBlock">
    <w:name w:val="Code Block"/>
    <w:basedOn w:val="Normal"/>
    <w:rPr>
      <w:rFonts w:ascii="Courier New" w:hAnsi="Courier New"/>
      <w:sz w:val="18"/>
    </w:rPr>
    <w:pPr>
      <w:spacing w:before="40" w:after="40"/>
    </w:pPr>
  </w:style>
  <w:style w:type="character" w:styleId="CodeChar">
    <w:name w:val="Code Char"/>
    <w:rPr>
      <w:rFonts w:ascii="Courier New" w:hAnsi="Courier New"/>
      <w:sz w:val="20"/>
      <w:color w:val="33333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Company Detector Docker Deployment Handover</dc:title>
  <dc:creator>OpenAI Codex</dc:creator>
  <cp:lastModifiedBy>OpenAI Codex</cp:lastModifiedBy>
</cp:coreProperties>
</file>