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Summary Report: Predictive Insights for Collections Strategy</w:t>
      </w:r>
    </w:p>
    <w:p>
      <w:pPr>
        <w:pStyle w:val="Heading2"/>
      </w:pPr>
      <w:r>
        <w:t>1. Summary of Predictive Insights</w:t>
      </w:r>
    </w:p>
    <w:p>
      <w:r>
        <w:t>Analysis of Geldium’s delinquency dataset (EDA – Task 1) and the predictive modeling framework (Task 2) identified clear customer risk patterns that can support proactive collections strategies.</w:t>
      </w:r>
    </w:p>
    <w:p>
      <w:pPr>
        <w:pStyle w:val="ListBullet"/>
      </w:pPr>
      <w:r>
        <w:t>Key high-risk customer segments:</w:t>
      </w:r>
    </w:p>
    <w:p>
      <w:pPr>
        <w:pStyle w:val="ListContinue"/>
      </w:pPr>
      <w:r>
        <w:t>Customers with high credit utilization ratios (&gt;70%), indicating financial stress and overreliance on credit.</w:t>
      </w:r>
    </w:p>
    <w:p>
      <w:pPr>
        <w:pStyle w:val="ListContinue"/>
      </w:pPr>
      <w:r>
        <w:t>Low-income customers with rising outstanding balances, showing limited repayment capacity.</w:t>
      </w:r>
    </w:p>
    <w:p>
      <w:pPr>
        <w:pStyle w:val="ListContinue"/>
      </w:pPr>
      <w:r>
        <w:t>Customers with a history of missed or late payments, which strongly predicts repeat delinquency.</w:t>
      </w:r>
    </w:p>
    <w:p>
      <w:pPr>
        <w:pStyle w:val="ListBullet"/>
      </w:pPr>
      <w:r>
        <w:t>Top predictors of delinquency:</w:t>
      </w:r>
    </w:p>
    <w:p>
      <w:pPr>
        <w:pStyle w:val="ListContinue"/>
      </w:pPr>
      <w:r>
        <w:t>Credit utilization ratio</w:t>
      </w:r>
    </w:p>
    <w:p>
      <w:pPr>
        <w:pStyle w:val="ListContinue"/>
      </w:pPr>
      <w:r>
        <w:t>Past missed payments / default history</w:t>
      </w:r>
    </w:p>
    <w:p>
      <w:pPr>
        <w:pStyle w:val="ListContinue"/>
      </w:pPr>
      <w:r>
        <w:t>Low credit score combined with high outstanding balance</w:t>
      </w:r>
    </w:p>
    <w:p>
      <w:pPr>
        <w:pStyle w:val="ListBullet"/>
      </w:pPr>
      <w:r>
        <w:t>Top 3 Risk Factors:</w:t>
      </w:r>
    </w:p>
    <w:p>
      <w:pPr>
        <w:pStyle w:val="ListContinue"/>
      </w:pPr>
      <w:r>
        <w:t>High credit utilization</w:t>
      </w:r>
    </w:p>
    <w:p>
      <w:pPr>
        <w:pStyle w:val="ListContinue"/>
      </w:pPr>
      <w:r>
        <w:t>Previous missed payments</w:t>
      </w:r>
    </w:p>
    <w:p>
      <w:pPr>
        <w:pStyle w:val="ListContinue"/>
      </w:pPr>
      <w:r>
        <w:t>Low income relative to outstanding balance</w:t>
      </w:r>
    </w:p>
    <w:p>
      <w:pPr>
        <w:pStyle w:val="Heading2"/>
      </w:pPr>
      <w:r>
        <w:t>2. Recommendation Framework</w:t>
      </w:r>
    </w:p>
    <w:p>
      <w:r>
        <w:t>Restated Insight:</w:t>
      </w:r>
    </w:p>
    <w:p>
      <w:r>
        <w:t>Customers with high credit utilization are significantly more likely to become delinquent, even when income and credit score are controlled.</w:t>
      </w:r>
    </w:p>
    <w:p>
      <w:r>
        <w:t>Proposed SMART Recommendation:</w:t>
      </w:r>
    </w:p>
    <w:p>
      <w:r>
        <w:t>Specific:</w:t>
      </w:r>
    </w:p>
    <w:p>
      <w:r>
        <w:t>Introduce an early-warning outreach program targeting customers whose credit utilization exceeds 70%.</w:t>
      </w:r>
    </w:p>
    <w:p>
      <w:r>
        <w:t>Measurable:</w:t>
      </w:r>
    </w:p>
    <w:p>
      <w:r>
        <w:t>Reduce delinquency rates in this segment by at least 10% within six months.</w:t>
      </w:r>
    </w:p>
    <w:p>
      <w:r>
        <w:t>Actionable:</w:t>
      </w:r>
    </w:p>
    <w:p>
      <w:r>
        <w:t>Use model risk scores to trigger automated reminders, payment plan offers, or financial guidance communications.</w:t>
      </w:r>
    </w:p>
    <w:p>
      <w:r>
        <w:t>Relevant:</w:t>
      </w:r>
    </w:p>
    <w:p>
      <w:r>
        <w:t>This directly supports Geldium’s goal of reducing delinquency while maintaining positive customer relationships.</w:t>
      </w:r>
    </w:p>
    <w:p>
      <w:r>
        <w:t>Time-bound:</w:t>
      </w:r>
    </w:p>
    <w:p>
      <w:r>
        <w:t>Pilot the intervention for six months and review results quarterly.</w:t>
      </w:r>
    </w:p>
    <w:p>
      <w:r>
        <w:t>Justification and Business Rationale:</w:t>
      </w:r>
    </w:p>
    <w:p>
      <w:r>
        <w:t>Targeting high-utilization customers enables proactive engagement before delinquency occurs. This approach is operationally feasible, aligns with responsible lending practices, and is supported by strong predictive evidence from the model.</w:t>
      </w:r>
    </w:p>
    <w:p>
      <w:pPr>
        <w:pStyle w:val="Heading2"/>
      </w:pPr>
      <w:r>
        <w:t>3. Ethical and Responsible AI Considerations</w:t>
      </w:r>
    </w:p>
    <w:p>
      <w:pPr>
        <w:pStyle w:val="ListBullet"/>
      </w:pPr>
      <w:r>
        <w:t>Fairness and Bias Risks:</w:t>
      </w:r>
    </w:p>
    <w:p>
      <w:pPr>
        <w:pStyle w:val="ListContinue"/>
      </w:pPr>
      <w:r>
        <w:t>Income-based bias: Low-income customers may be over-flagged for risk. Mitigation includes regular bias audits and avoiding income as a sole decision factor.</w:t>
      </w:r>
    </w:p>
    <w:p>
      <w:pPr>
        <w:pStyle w:val="ListContinue"/>
      </w:pPr>
      <w:r>
        <w:t>Historical bias: Past defaults may reflect temporary hardship rather than long-term risk. Mitigation includes combining behavioral trends with recent activity.</w:t>
      </w:r>
    </w:p>
    <w:p>
      <w:pPr>
        <w:pStyle w:val="ListBullet"/>
      </w:pPr>
      <w:r>
        <w:t>Explainability:</w:t>
      </w:r>
    </w:p>
    <w:p>
      <w:pPr>
        <w:pStyle w:val="ListContinue"/>
      </w:pPr>
      <w:r>
        <w:t>Model predictions are explained using clear factors such as credit utilization, missed payments, and balance levels, rather than technical model outputs.</w:t>
      </w:r>
    </w:p>
    <w:p>
      <w:pPr>
        <w:pStyle w:val="ListBullet"/>
      </w:pPr>
      <w:r>
        <w:t>Responsible AI Use:</w:t>
      </w:r>
    </w:p>
    <w:p>
      <w:pPr>
        <w:pStyle w:val="ListContinue"/>
      </w:pPr>
      <w:r>
        <w:t>The model supports decision-making rather than automation, promotes transparency, respects data privacy, and ensures human oversight in collections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