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onsolas" w:hAnsi="Consolas"/>
          <w:b/>
          <w:i w:val="0"/>
          <w:caps/>
          <w:color w:val="16505A"/>
          <w:sz w:val="17"/>
        </w:rPr>
        <w:t>Guide de test · Nuprod · Comptabilité</w:t>
      </w:r>
    </w:p>
    <w:p>
      <w:pPr>
        <w:spacing w:after="160"/>
      </w:pPr>
      <w:r>
        <w:rPr>
          <w:rFonts w:ascii="Georgia" w:hAnsi="Georgia"/>
          <w:b/>
          <w:i w:val="0"/>
          <w:color w:val="18241E"/>
          <w:sz w:val="48"/>
        </w:rPr>
        <w:t>Immobilisations en cours : la mise en service en pratique</w:t>
      </w:r>
    </w:p>
    <w:p>
      <w:pPr>
        <w:spacing w:after="80"/>
      </w:pPr>
      <w:r>
        <w:rPr>
          <w:rFonts w:ascii="Calibri" w:hAnsi="Calibri"/>
          <w:b w:val="0"/>
          <w:i w:val="0"/>
        </w:rPr>
        <w:t xml:space="preserve">Quand un bien passe d'« en cours » à « mis en service », le logiciel passe désormais </w:t>
      </w:r>
      <w:r>
        <w:rPr>
          <w:rFonts w:ascii="Calibri" w:hAnsi="Calibri"/>
          <w:b/>
          <w:i w:val="0"/>
        </w:rPr>
        <w:t>tout seul l'écriture qui bascule sa valeur</w:t>
      </w:r>
      <w:r>
        <w:rPr>
          <w:rFonts w:ascii="Calibri" w:hAnsi="Calibri"/>
          <w:b w:val="0"/>
          <w:i w:val="0"/>
        </w:rPr>
        <w:t xml:space="preserve"> du compte d'attente (classe 23) vers le compte d'immobilisation définitif (21x / 205x). Ce guide vous fait vérifier, pas à pas, que tout se comporte comme prévu — sur votre base de test, sans risque.</w:t>
      </w:r>
    </w:p>
    <w:p>
      <w:pPr>
        <w:spacing w:after="0" w:before="200"/>
      </w:pPr>
    </w:p>
    <w:p>
      <w:pPr>
        <w:spacing w:after="40"/>
      </w:pPr>
      <w:r>
        <w:rPr>
          <w:rFonts w:ascii="Consolas" w:hAnsi="Consolas"/>
          <w:b/>
          <w:i w:val="0"/>
          <w:color w:val="16505A"/>
          <w:sz w:val="17"/>
        </w:rPr>
        <w:t>EXEMPLE D'ÉCRITURE GÉNÉRÉE  ·  Journal OD — Mise en service  ·  Brouillon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5184"/>
            <w:shd w:val="clear" w:fill="1F6E7B"/>
          </w:tcPr>
          <w:p>
            <w:pPr>
              <w:jc w:val="left"/>
            </w:pP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Compte</w:t>
            </w:r>
          </w:p>
        </w:tc>
        <w:tc>
          <w:tcPr>
            <w:tcW w:type="dxa" w:w="2016"/>
            <w:shd w:val="clear" w:fill="1F6E7B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Débit</w:t>
            </w:r>
          </w:p>
        </w:tc>
        <w:tc>
          <w:tcPr>
            <w:tcW w:type="dxa" w:w="2016"/>
            <w:shd w:val="clear" w:fill="1F6E7B"/>
          </w:tcPr>
          <w:p>
            <w:pPr>
              <w:jc w:val="right"/>
            </w:pPr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Crédit</w:t>
            </w:r>
          </w:p>
        </w:tc>
      </w:tr>
      <w:tr>
        <w:tc>
          <w:tcPr>
            <w:tcW w:type="dxa" w:w="5184"/>
            <w:shd w:val="clear" w:fill="F7F9F3"/>
          </w:tcPr>
          <w:p>
            <w:pPr>
              <w:jc w:val="left"/>
            </w:pPr>
            <w:r>
              <w:rPr>
                <w:rFonts w:ascii="Consolas" w:hAnsi="Consolas"/>
                <w:b w:val="0"/>
                <w:i w:val="0"/>
                <w:color w:val="18241E"/>
                <w:sz w:val="19"/>
              </w:rPr>
              <w:t>205000 — Immobilisation</w:t>
            </w:r>
          </w:p>
        </w:tc>
        <w:tc>
          <w:tcPr>
            <w:tcW w:type="dxa" w:w="2016"/>
            <w:shd w:val="clear" w:fill="F7F9F3"/>
          </w:tcPr>
          <w:p>
            <w:pPr>
              <w:jc w:val="right"/>
            </w:pPr>
            <w:r>
              <w:rPr>
                <w:rFonts w:ascii="Consolas" w:hAnsi="Consolas"/>
                <w:b w:val="0"/>
                <w:i w:val="0"/>
                <w:color w:val="18241E"/>
                <w:sz w:val="19"/>
              </w:rPr>
              <w:t>10 000,00</w:t>
            </w:r>
          </w:p>
        </w:tc>
        <w:tc>
          <w:tcPr>
            <w:tcW w:type="dxa" w:w="2016"/>
            <w:shd w:val="clear" w:fill="F7F9F3"/>
          </w:tcPr>
          <w:p>
            <w:pPr>
              <w:jc w:val="right"/>
            </w:pPr>
            <w:r>
              <w:rPr>
                <w:rFonts w:ascii="Consolas" w:hAnsi="Consolas"/>
                <w:b w:val="0"/>
                <w:i w:val="0"/>
                <w:color w:val="5A6A5E"/>
                <w:sz w:val="19"/>
              </w:rPr>
              <w:t>—</w:t>
            </w:r>
          </w:p>
        </w:tc>
      </w:tr>
      <w:tr>
        <w:tc>
          <w:tcPr>
            <w:tcW w:type="dxa" w:w="5184"/>
            <w:shd w:val="clear" w:fill="F7F9F3"/>
          </w:tcPr>
          <w:p>
            <w:pPr>
              <w:jc w:val="left"/>
            </w:pPr>
            <w:r>
              <w:rPr>
                <w:rFonts w:ascii="Consolas" w:hAnsi="Consolas"/>
                <w:b w:val="0"/>
                <w:i w:val="0"/>
                <w:color w:val="18241E"/>
                <w:sz w:val="19"/>
              </w:rPr>
              <w:t>232000 — En-cours</w:t>
            </w:r>
          </w:p>
        </w:tc>
        <w:tc>
          <w:tcPr>
            <w:tcW w:type="dxa" w:w="2016"/>
            <w:shd w:val="clear" w:fill="F7F9F3"/>
          </w:tcPr>
          <w:p>
            <w:pPr>
              <w:jc w:val="right"/>
            </w:pPr>
            <w:r>
              <w:rPr>
                <w:rFonts w:ascii="Consolas" w:hAnsi="Consolas"/>
                <w:b w:val="0"/>
                <w:i w:val="0"/>
                <w:color w:val="5A6A5E"/>
                <w:sz w:val="19"/>
              </w:rPr>
              <w:t>—</w:t>
            </w:r>
          </w:p>
        </w:tc>
        <w:tc>
          <w:tcPr>
            <w:tcW w:type="dxa" w:w="2016"/>
            <w:shd w:val="clear" w:fill="F7F9F3"/>
          </w:tcPr>
          <w:p>
            <w:pPr>
              <w:jc w:val="right"/>
            </w:pPr>
            <w:r>
              <w:rPr>
                <w:rFonts w:ascii="Consolas" w:hAnsi="Consolas"/>
                <w:b w:val="0"/>
                <w:i w:val="0"/>
                <w:color w:val="18241E"/>
                <w:sz w:val="19"/>
              </w:rPr>
              <w:t>10 000,00</w:t>
            </w:r>
          </w:p>
        </w:tc>
      </w:tr>
    </w:tbl>
    <w:p>
      <w:pPr>
        <w:spacing w:before="320" w:after="40"/>
        <w:pBdr>
          <w:bottom w:val="single" w:sz="12" w:space="4" w:color="1F6E7B"/>
        </w:pBdr>
      </w:pPr>
      <w:r>
        <w:rPr>
          <w:rFonts w:ascii="Consolas" w:hAnsi="Consolas"/>
          <w:b/>
          <w:i w:val="0"/>
          <w:caps/>
          <w:color w:val="16505A"/>
          <w:sz w:val="21"/>
        </w:rPr>
        <w:t>Avant de commencer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</w:rPr>
        <w:t>Accès Comptabilité</w:t>
      </w:r>
      <w:r>
        <w:rPr>
          <w:rFonts w:ascii="Calibri" w:hAnsi="Calibri"/>
          <w:b w:val="0"/>
          <w:i w:val="0"/>
        </w:rPr>
        <w:t xml:space="preserve"> requis (utilisateur ou responsable).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</w:rPr>
        <w:t>Base de test</w:t>
      </w:r>
      <w:r>
        <w:rPr>
          <w:rFonts w:ascii="Calibri" w:hAnsi="Calibri"/>
          <w:b w:val="0"/>
          <w:i w:val="0"/>
        </w:rPr>
        <w:t xml:space="preserve"> : vous pouvez créer et confirmer librement, rien n'est définitif. Les écritures générées restent en brouillon tant que personne ne les comptabilise.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>Cochez chaque test au fur et à mesure (case ☐ en marge) pour suivre votre progression.</w:t>
      </w:r>
    </w:p>
    <w:p>
      <w:pPr>
        <w:spacing w:before="320" w:after="40"/>
        <w:pBdr>
          <w:bottom w:val="single" w:sz="12" w:space="4" w:color="1F6E7B"/>
        </w:pBdr>
      </w:pPr>
      <w:r>
        <w:rPr>
          <w:rFonts w:ascii="Consolas" w:hAnsi="Consolas"/>
          <w:b/>
          <w:i w:val="0"/>
          <w:caps/>
          <w:color w:val="16505A"/>
          <w:sz w:val="21"/>
        </w:rPr>
        <w:t>Étape 0 — Vérifier la configuration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ouvrez </w:t>
      </w:r>
      <w:r>
        <w:rPr>
          <w:rFonts w:ascii="Consolas" w:hAnsi="Consolas"/>
          <w:b w:val="0"/>
          <w:i w:val="0"/>
          <w:color w:val="16505A"/>
        </w:rPr>
        <w:t>Comptabilité ▸ Configuration ▸ Immobilisations en cours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Au moins une ligne </w:t>
            </w:r>
            <w:r>
              <w:rPr>
                <w:rFonts w:ascii="Calibri" w:hAnsi="Calibri"/>
                <w:b/>
                <w:i w:val="0"/>
              </w:rPr>
              <w:t>active</w:t>
            </w:r>
            <w:r>
              <w:rPr>
                <w:rFonts w:ascii="Calibri" w:hAnsi="Calibri"/>
                <w:b w:val="0"/>
                <w:i w:val="0"/>
              </w:rPr>
              <w:t xml:space="preserve"> reliant un compte d'attente (commençant par </w:t>
            </w:r>
            <w:r>
              <w:rPr>
                <w:rFonts w:ascii="Consolas" w:hAnsi="Consolas"/>
                <w:b w:val="0"/>
                <w:i w:val="0"/>
                <w:color w:val="16505A"/>
              </w:rPr>
              <w:t>23</w:t>
            </w:r>
            <w:r>
              <w:rPr>
                <w:rFonts w:ascii="Calibri" w:hAnsi="Calibri"/>
                <w:b w:val="0"/>
                <w:i w:val="0"/>
              </w:rPr>
              <w:t xml:space="preserve">) à un compte définitif et à un journal d'opérations diverses — par ex. </w:t>
            </w:r>
            <w:r>
              <w:rPr>
                <w:rFonts w:ascii="Consolas" w:hAnsi="Consolas"/>
                <w:b w:val="0"/>
                <w:i w:val="0"/>
                <w:color w:val="16505A"/>
              </w:rPr>
              <w:t>232000 → 205000</w:t>
            </w:r>
            <w:r>
              <w:rPr>
                <w:rFonts w:ascii="Calibri" w:hAnsi="Calibri"/>
                <w:b w:val="0"/>
                <w:i w:val="0"/>
              </w:rPr>
              <w:t>. Sans elle, les tests suivants afficheront un message vous invitant à la créer (c'est volontaire).</w:t>
            </w:r>
          </w:p>
        </w:tc>
      </w:tr>
    </w:tbl>
    <w:p>
      <w:pPr>
        <w:spacing w:after="0" w:before="80"/>
      </w:pPr>
    </w:p>
    <w:p>
      <w:pPr>
        <w:spacing w:before="320" w:after="40"/>
        <w:pBdr>
          <w:bottom w:val="single" w:sz="12" w:space="4" w:color="1F6E7B"/>
        </w:pBdr>
      </w:pPr>
      <w:r>
        <w:rPr>
          <w:rFonts w:ascii="Consolas" w:hAnsi="Consolas"/>
          <w:b/>
          <w:i w:val="0"/>
          <w:caps/>
          <w:color w:val="16505A"/>
          <w:sz w:val="21"/>
        </w:rPr>
        <w:t>Les tests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01  </w:t>
      </w:r>
      <w:r>
        <w:rPr>
          <w:rFonts w:ascii="Georgia" w:hAnsi="Georgia"/>
          <w:b/>
          <w:i w:val="0"/>
          <w:color w:val="18241E"/>
          <w:sz w:val="28"/>
        </w:rPr>
        <w:t>La détection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>créez une immobilisation (</w:t>
      </w:r>
      <w:r>
        <w:rPr>
          <w:rFonts w:ascii="Consolas" w:hAnsi="Consolas"/>
          <w:b w:val="0"/>
          <w:i w:val="0"/>
          <w:color w:val="16505A"/>
        </w:rPr>
        <w:t>Comptabilité ▸ Immobilisations ▸ Nouveau</w:t>
      </w:r>
      <w:r>
        <w:rPr>
          <w:rFonts w:ascii="Calibri" w:hAnsi="Calibri"/>
          <w:b w:val="0"/>
          <w:i w:val="0"/>
        </w:rPr>
        <w:t xml:space="preserve">) et choisissez comme compte d'immobilisation un compte d'attente, ex. </w:t>
      </w:r>
      <w:r>
        <w:rPr>
          <w:rFonts w:ascii="Consolas" w:hAnsi="Consolas"/>
          <w:b w:val="0"/>
          <w:i w:val="0"/>
          <w:color w:val="16505A"/>
        </w:rPr>
        <w:t>232000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La fiche indique « </w:t>
            </w:r>
            <w:r>
              <w:rPr>
                <w:rFonts w:ascii="Calibri" w:hAnsi="Calibri"/>
                <w:b/>
                <w:i w:val="0"/>
              </w:rPr>
              <w:t>Issue d'un compte en-cours</w:t>
            </w:r>
            <w:r>
              <w:rPr>
                <w:rFonts w:ascii="Calibri" w:hAnsi="Calibri"/>
                <w:b w:val="0"/>
                <w:i w:val="0"/>
              </w:rPr>
              <w:t xml:space="preserve"> », rappelle le compte d'origine, et fait apparaître la case « Forcer la mise en service ». Une immobilisation sur un compte normal n'affiche rien de tout cela.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02  </w:t>
      </w:r>
      <w:r>
        <w:rPr>
          <w:rFonts w:ascii="Georgia" w:hAnsi="Georgia"/>
          <w:b/>
          <w:i w:val="0"/>
          <w:color w:val="18241E"/>
          <w:sz w:val="28"/>
        </w:rPr>
        <w:t>Le garde-fou de date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sur cette fiche, laissez la </w:t>
      </w:r>
      <w:r>
        <w:rPr>
          <w:rFonts w:ascii="Calibri" w:hAnsi="Calibri"/>
          <w:b/>
          <w:i w:val="0"/>
        </w:rPr>
        <w:t>Date de prorata</w:t>
      </w:r>
      <w:r>
        <w:rPr>
          <w:rFonts w:ascii="Calibri" w:hAnsi="Calibri"/>
          <w:b w:val="0"/>
          <w:i w:val="0"/>
        </w:rPr>
        <w:t xml:space="preserve"> identique à la </w:t>
      </w:r>
      <w:r>
        <w:rPr>
          <w:rFonts w:ascii="Calibri" w:hAnsi="Calibri"/>
          <w:b/>
          <w:i w:val="0"/>
        </w:rPr>
        <w:t>Date d'acquisition</w:t>
      </w:r>
      <w:r>
        <w:rPr>
          <w:rFonts w:ascii="Calibri" w:hAnsi="Calibri"/>
          <w:b w:val="0"/>
          <w:i w:val="0"/>
        </w:rPr>
        <w:t xml:space="preserve">, puis cliquez </w:t>
      </w:r>
      <w:r>
        <w:rPr>
          <w:rFonts w:ascii="Calibri" w:hAnsi="Calibri"/>
          <w:b/>
          <w:i w:val="0"/>
        </w:rPr>
        <w:t>Confirmer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9E6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9C3B2E"/>
                <w:sz w:val="17"/>
              </w:rPr>
              <w:t>⛔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Un message vous </w:t>
            </w:r>
            <w:r>
              <w:rPr>
                <w:rFonts w:ascii="Calibri" w:hAnsi="Calibri"/>
                <w:b/>
                <w:i w:val="0"/>
              </w:rPr>
              <w:t>arrête</w:t>
            </w:r>
            <w:r>
              <w:rPr>
                <w:rFonts w:ascii="Calibri" w:hAnsi="Calibri"/>
                <w:b w:val="0"/>
                <w:i w:val="0"/>
              </w:rPr>
              <w:t xml:space="preserve"> et demande de renseigner la date de mise en service. La date n'est </w:t>
            </w:r>
            <w:r>
              <w:rPr>
                <w:rFonts w:ascii="Calibri" w:hAnsi="Calibri"/>
                <w:b/>
                <w:i w:val="0"/>
              </w:rPr>
              <w:t>jamais effacée</w:t>
            </w:r>
            <w:r>
              <w:rPr>
                <w:rFonts w:ascii="Calibri" w:hAnsi="Calibri"/>
                <w:b w:val="0"/>
                <w:i w:val="0"/>
              </w:rPr>
              <w:t>. Objectif : éviter de mettre un bien en service sans vraie date.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03  </w:t>
      </w:r>
      <w:r>
        <w:rPr>
          <w:rFonts w:ascii="Georgia" w:hAnsi="Georgia"/>
          <w:b/>
          <w:i w:val="0"/>
          <w:color w:val="18241E"/>
          <w:sz w:val="28"/>
        </w:rPr>
        <w:t>La dérogation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cochez « </w:t>
      </w:r>
      <w:r>
        <w:rPr>
          <w:rFonts w:ascii="Calibri" w:hAnsi="Calibri"/>
          <w:b/>
          <w:i w:val="0"/>
        </w:rPr>
        <w:t>Forcer la mise en service</w:t>
      </w:r>
      <w:r>
        <w:rPr>
          <w:rFonts w:ascii="Calibri" w:hAnsi="Calibri"/>
          <w:b w:val="0"/>
          <w:i w:val="0"/>
        </w:rPr>
        <w:t xml:space="preserve"> », puis </w:t>
      </w:r>
      <w:r>
        <w:rPr>
          <w:rFonts w:ascii="Calibri" w:hAnsi="Calibri"/>
          <w:b/>
          <w:i w:val="0"/>
        </w:rPr>
        <w:t>Confirmer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>La confirmation passe. Utile quand la mise en service a réellement lieu le jour de l'acquisition.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04  </w:t>
      </w:r>
      <w:r>
        <w:rPr>
          <w:rFonts w:ascii="Georgia" w:hAnsi="Georgia"/>
          <w:b/>
          <w:i w:val="0"/>
          <w:color w:val="18241E"/>
          <w:sz w:val="28"/>
        </w:rPr>
        <w:t>L'écriture automatique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sur une </w:t>
      </w:r>
      <w:r>
        <w:rPr>
          <w:rFonts w:ascii="Calibri" w:hAnsi="Calibri"/>
          <w:b/>
          <w:i w:val="0"/>
        </w:rPr>
        <w:t>nouvelle</w:t>
      </w:r>
      <w:r>
        <w:rPr>
          <w:rFonts w:ascii="Calibri" w:hAnsi="Calibri"/>
          <w:b w:val="0"/>
          <w:i w:val="0"/>
        </w:rPr>
        <w:t xml:space="preserve"> immobilisation issue d'un compte d'attente, mettez une </w:t>
      </w:r>
      <w:r>
        <w:rPr>
          <w:rFonts w:ascii="Calibri" w:hAnsi="Calibri"/>
          <w:b/>
          <w:i w:val="0"/>
        </w:rPr>
        <w:t>Date de prorata = date réelle de mise en service</w:t>
      </w:r>
      <w:r>
        <w:rPr>
          <w:rFonts w:ascii="Calibri" w:hAnsi="Calibri"/>
          <w:b w:val="0"/>
          <w:i w:val="0"/>
        </w:rPr>
        <w:t xml:space="preserve"> (différente de l'acquisition), puis </w:t>
      </w:r>
      <w:r>
        <w:rPr>
          <w:rFonts w:ascii="Calibri" w:hAnsi="Calibri"/>
          <w:b/>
          <w:i w:val="0"/>
        </w:rPr>
        <w:t>Confirmer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Un bouton « </w:t>
            </w:r>
            <w:r>
              <w:rPr>
                <w:rFonts w:ascii="Calibri" w:hAnsi="Calibri"/>
                <w:b/>
                <w:i w:val="0"/>
              </w:rPr>
              <w:t>OD de mise en service</w:t>
            </w:r>
            <w:r>
              <w:rPr>
                <w:rFonts w:ascii="Calibri" w:hAnsi="Calibri"/>
                <w:b w:val="0"/>
                <w:i w:val="0"/>
              </w:rPr>
              <w:t xml:space="preserve"> » apparaît. En cliquant, vous trouvez une écriture </w:t>
            </w:r>
            <w:r>
              <w:rPr>
                <w:rFonts w:ascii="Calibri" w:hAnsi="Calibri"/>
                <w:b/>
                <w:i w:val="0"/>
              </w:rPr>
              <w:t>équilibrée</w:t>
            </w:r>
            <w:r>
              <w:rPr>
                <w:rFonts w:ascii="Calibri" w:hAnsi="Calibri"/>
                <w:b w:val="0"/>
                <w:i w:val="0"/>
              </w:rPr>
              <w:t xml:space="preserve"> : débit du compte définitif (205000) / crédit du compte d'attente (232000), pour la valeur du bien. Elle est en </w:t>
            </w:r>
            <w:r>
              <w:rPr>
                <w:rFonts w:ascii="Calibri" w:hAnsi="Calibri"/>
                <w:b/>
                <w:i w:val="0"/>
              </w:rPr>
              <w:t>brouillon</w:t>
            </w:r>
            <w:r>
              <w:rPr>
                <w:rFonts w:ascii="Calibri" w:hAnsi="Calibri"/>
                <w:b w:val="0"/>
                <w:i w:val="0"/>
              </w:rPr>
              <w:t>, et un récapitulatif s'affiche dans l'historique de la fiche.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05  </w:t>
      </w:r>
      <w:r>
        <w:rPr>
          <w:rFonts w:ascii="Georgia" w:hAnsi="Georgia"/>
          <w:b/>
          <w:i w:val="0"/>
          <w:color w:val="18241E"/>
          <w:sz w:val="28"/>
        </w:rPr>
        <w:t>Pas de doublon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>reconfirmez la même immobilisation (ou rouvrez-la).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Aucune deuxième écriture n'est créée. Une immobilisation = </w:t>
            </w:r>
            <w:r>
              <w:rPr>
                <w:rFonts w:ascii="Calibri" w:hAnsi="Calibri"/>
                <w:b/>
                <w:i w:val="0"/>
              </w:rPr>
              <w:t>une seule</w:t>
            </w:r>
            <w:r>
              <w:rPr>
                <w:rFonts w:ascii="Calibri" w:hAnsi="Calibri"/>
                <w:b w:val="0"/>
                <w:i w:val="0"/>
              </w:rPr>
              <w:t xml:space="preserve"> écriture de virement.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06  </w:t>
      </w:r>
      <w:r>
        <w:rPr>
          <w:rFonts w:ascii="Georgia" w:hAnsi="Georgia"/>
          <w:b/>
          <w:i w:val="0"/>
          <w:color w:val="18241E"/>
          <w:sz w:val="28"/>
        </w:rPr>
        <w:t>Configuration manquante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>désactivez un instant la ligne de configuration (Étape 0), puis tentez de confirmer une immobilisation d'attente.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9E6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9C3B2E"/>
                <w:sz w:val="17"/>
              </w:rPr>
              <w:t>⛔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Un message </w:t>
            </w:r>
            <w:r>
              <w:rPr>
                <w:rFonts w:ascii="Calibri" w:hAnsi="Calibri"/>
                <w:b/>
                <w:i w:val="0"/>
              </w:rPr>
              <w:t>clair</w:t>
            </w:r>
            <w:r>
              <w:rPr>
                <w:rFonts w:ascii="Calibri" w:hAnsi="Calibri"/>
                <w:b w:val="0"/>
                <w:i w:val="0"/>
              </w:rPr>
              <w:t xml:space="preserve"> vous invite à configurer le virement — pas d'erreur incompréhensible. Pensez à </w:t>
            </w:r>
            <w:r>
              <w:rPr>
                <w:rFonts w:ascii="Calibri" w:hAnsi="Calibri"/>
                <w:b/>
                <w:i w:val="0"/>
              </w:rPr>
              <w:t>réactiver</w:t>
            </w:r>
            <w:r>
              <w:rPr>
                <w:rFonts w:ascii="Calibri" w:hAnsi="Calibri"/>
                <w:b w:val="0"/>
                <w:i w:val="0"/>
              </w:rPr>
              <w:t xml:space="preserve"> la ligne ensuite.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07  </w:t>
      </w:r>
      <w:r>
        <w:rPr>
          <w:rFonts w:ascii="Georgia" w:hAnsi="Georgia"/>
          <w:b/>
          <w:i w:val="0"/>
          <w:color w:val="18241E"/>
          <w:sz w:val="28"/>
        </w:rPr>
        <w:t>Comptabilisation automatique</w:t>
      </w:r>
      <w:r>
        <w:rPr>
          <w:rFonts w:ascii="Consolas" w:hAnsi="Consolas"/>
          <w:b/>
          <w:i w:val="0"/>
          <w:caps/>
          <w:color w:val="16505A"/>
          <w:sz w:val="17"/>
        </w:rPr>
        <w:t xml:space="preserve">   Avec Nuprod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(réglage avancé) on peut demander que l'écriture soit </w:t>
      </w:r>
      <w:r>
        <w:rPr>
          <w:rFonts w:ascii="Calibri" w:hAnsi="Calibri"/>
          <w:b/>
          <w:i w:val="0"/>
        </w:rPr>
        <w:t>comptabilisée directement</w:t>
      </w:r>
      <w:r>
        <w:rPr>
          <w:rFonts w:ascii="Calibri" w:hAnsi="Calibri"/>
          <w:b w:val="0"/>
          <w:i w:val="0"/>
        </w:rPr>
        <w:t xml:space="preserve"> au lieu de rester en brouillon.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Après activation du réglage, une nouvelle mise en service produit une écriture déjà </w:t>
            </w:r>
            <w:r>
              <w:rPr>
                <w:rFonts w:ascii="Calibri" w:hAnsi="Calibri"/>
                <w:b/>
                <w:i w:val="0"/>
              </w:rPr>
              <w:t>comptabilisée</w:t>
            </w:r>
            <w:r>
              <w:rPr>
                <w:rFonts w:ascii="Calibri" w:hAnsi="Calibri"/>
                <w:b w:val="0"/>
                <w:i w:val="0"/>
              </w:rPr>
              <w:t>. Par défaut, elle reste en brouillon (recommandé).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08  </w:t>
      </w:r>
      <w:r>
        <w:rPr>
          <w:rFonts w:ascii="Georgia" w:hAnsi="Georgia"/>
          <w:b/>
          <w:i w:val="0"/>
          <w:color w:val="18241E"/>
          <w:sz w:val="28"/>
        </w:rPr>
        <w:t>Répartition analytique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sur une immobilisation portant une </w:t>
      </w:r>
      <w:r>
        <w:rPr>
          <w:rFonts w:ascii="Calibri" w:hAnsi="Calibri"/>
          <w:b/>
          <w:i w:val="0"/>
        </w:rPr>
        <w:t>répartition analytique</w:t>
      </w:r>
      <w:r>
        <w:rPr>
          <w:rFonts w:ascii="Calibri" w:hAnsi="Calibri"/>
          <w:b w:val="0"/>
          <w:i w:val="0"/>
        </w:rPr>
        <w:t xml:space="preserve"> (ex. centre de coût), confirmez-la.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Les deux lignes de l'écriture de virement reprennent la </w:t>
            </w:r>
            <w:r>
              <w:rPr>
                <w:rFonts w:ascii="Calibri" w:hAnsi="Calibri"/>
                <w:b/>
                <w:i w:val="0"/>
              </w:rPr>
              <w:t>même répartition analytique</w:t>
            </w:r>
            <w:r>
              <w:rPr>
                <w:rFonts w:ascii="Calibri" w:hAnsi="Calibri"/>
                <w:b w:val="0"/>
                <w:i w:val="0"/>
              </w:rPr>
              <w:t>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280" w:after="0"/>
      </w:pPr>
      <w:r>
        <w:rPr>
          <w:rFonts w:ascii="Consolas" w:hAnsi="Consolas"/>
          <w:b/>
          <w:i w:val="0"/>
          <w:color w:val="16505A"/>
          <w:sz w:val="26"/>
        </w:rPr>
        <w:t xml:space="preserve">09  </w:t>
      </w:r>
      <w:r>
        <w:rPr>
          <w:rFonts w:ascii="Georgia" w:hAnsi="Georgia"/>
          <w:b/>
          <w:i w:val="0"/>
          <w:color w:val="18241E"/>
          <w:sz w:val="28"/>
        </w:rPr>
        <w:t>Le compte d'attente est soldé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comptabilisez l'écriture du test 04, puis ouvrez le </w:t>
      </w:r>
      <w:r>
        <w:rPr>
          <w:rFonts w:ascii="Consolas" w:hAnsi="Consolas"/>
          <w:b w:val="0"/>
          <w:i w:val="0"/>
          <w:color w:val="16505A"/>
        </w:rPr>
        <w:t>Grand livre</w:t>
      </w:r>
      <w:r>
        <w:rPr>
          <w:rFonts w:ascii="Calibri" w:hAnsi="Calibri"/>
          <w:b w:val="0"/>
          <w:i w:val="0"/>
        </w:rPr>
        <w:t xml:space="preserve"> (ou la Balance) filtré sur </w:t>
      </w:r>
      <w:r>
        <w:rPr>
          <w:rFonts w:ascii="Consolas" w:hAnsi="Consolas"/>
          <w:b w:val="0"/>
          <w:i w:val="0"/>
          <w:color w:val="16505A"/>
        </w:rPr>
        <w:t>232000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Pour ce bien, le compte d'attente est </w:t>
            </w:r>
            <w:r>
              <w:rPr>
                <w:rFonts w:ascii="Calibri" w:hAnsi="Calibri"/>
                <w:b/>
                <w:i w:val="0"/>
              </w:rPr>
              <w:t>soldé</w:t>
            </w:r>
            <w:r>
              <w:rPr>
                <w:rFonts w:ascii="Calibri" w:hAnsi="Calibri"/>
                <w:b w:val="0"/>
                <w:i w:val="0"/>
              </w:rPr>
              <w:t xml:space="preserve"> : le crédit du virement compense le débit d'acquisition. La valeur vit désormais sur le compte définitif.</w:t>
            </w:r>
          </w:p>
        </w:tc>
      </w:tr>
    </w:tbl>
    <w:p>
      <w:pPr>
        <w:spacing w:after="0" w:before="80"/>
      </w:pPr>
    </w:p>
    <w:p>
      <w:pPr>
        <w:spacing w:after="40"/>
      </w:pPr>
      <w:r>
        <w:rPr>
          <w:rFonts w:ascii="Calibri" w:hAnsi="Calibri"/>
          <w:b w:val="0"/>
          <w:i w:val="0"/>
          <w:color w:val="16505A"/>
          <w:sz w:val="26"/>
        </w:rPr>
        <w:t xml:space="preserve">☐  </w:t>
      </w:r>
      <w:r>
        <w:rPr>
          <w:rFonts w:ascii="Consolas" w:hAnsi="Consolas"/>
          <w:b w:val="0"/>
          <w:i w:val="0"/>
          <w:color w:val="5A6A5E"/>
          <w:sz w:val="19"/>
        </w:rPr>
        <w:t>J'ai vérifié</w:t>
      </w:r>
    </w:p>
    <w:p>
      <w:pPr>
        <w:spacing w:before="320" w:after="40"/>
        <w:pBdr>
          <w:bottom w:val="single" w:sz="12" w:space="4" w:color="1F6E7B"/>
        </w:pBdr>
      </w:pPr>
      <w:r>
        <w:rPr>
          <w:rFonts w:ascii="Consolas" w:hAnsi="Consolas"/>
          <w:b/>
          <w:i w:val="0"/>
          <w:caps/>
          <w:color w:val="16505A"/>
          <w:sz w:val="21"/>
        </w:rPr>
        <w:t>En cas de souci</w:t>
      </w:r>
    </w:p>
    <w:p>
      <w:pPr>
        <w:spacing w:after="40"/>
      </w:pPr>
      <w:r>
        <w:rPr>
          <w:rFonts w:ascii="Calibri" w:hAnsi="Calibri"/>
          <w:b w:val="0"/>
          <w:i w:val="0"/>
        </w:rPr>
        <w:t>Si un test ne se comporte pas comme décrit, ce n'est pas grave — notez 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>le numéro du test et le nom / numéro de l'immobilisation 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>le message exact affiché, avec une capture d'écran ;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>transmettez le tout à Nuprod. On regarde et on corrige.</w:t>
      </w:r>
    </w:p>
    <w:p>
      <w:r>
        <w:br w:type="page"/>
      </w:r>
    </w:p>
    <w:p>
      <w:pPr>
        <w:spacing w:before="320" w:after="40"/>
        <w:pBdr>
          <w:bottom w:val="single" w:sz="12" w:space="4" w:color="1F6E7B"/>
        </w:pBdr>
      </w:pPr>
      <w:r>
        <w:rPr>
          <w:rFonts w:ascii="Consolas" w:hAnsi="Consolas"/>
          <w:b/>
          <w:i w:val="0"/>
          <w:caps/>
          <w:color w:val="16505A"/>
          <w:sz w:val="21"/>
        </w:rPr>
        <w:t>Annexe — Configuration (administrateur)</w:t>
      </w:r>
    </w:p>
    <w:p>
      <w:pPr>
        <w:spacing w:after="120"/>
      </w:pPr>
      <w:r>
        <w:rPr>
          <w:rFonts w:ascii="Calibri" w:hAnsi="Calibri"/>
          <w:b w:val="0"/>
          <w:i w:val="0"/>
        </w:rPr>
        <w:t>Cette annexe s'adresse à la personne qui paramètre le module (pas à l'utilisateur qui teste). Elle décrit comment créer les couples de comptes et activer les contrôles.</w:t>
      </w:r>
    </w:p>
    <w:p>
      <w:pPr>
        <w:spacing w:before="160" w:after="40"/>
      </w:pPr>
      <w:r>
        <w:rPr>
          <w:rFonts w:ascii="Georgia" w:hAnsi="Georgia"/>
          <w:b/>
          <w:i w:val="0"/>
          <w:sz w:val="26"/>
        </w:rPr>
        <w:t>A.  Créer un couple « compte d'en-cours → compte définitif »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ouvrez </w:t>
      </w:r>
      <w:r>
        <w:rPr>
          <w:rFonts w:ascii="Consolas" w:hAnsi="Consolas"/>
          <w:b w:val="0"/>
          <w:i w:val="0"/>
          <w:color w:val="16505A"/>
        </w:rPr>
        <w:t>Comptabilité ▸ Configuration ▸ Immobilisations en cours ▸ Nouveau</w:t>
      </w:r>
      <w:r>
        <w:rPr>
          <w:rFonts w:ascii="Calibri" w:hAnsi="Calibri"/>
          <w:b w:val="0"/>
          <w:i w:val="0"/>
        </w:rPr>
        <w:t>. (Le menu n'apparaît que si le module est installé sur la base.)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1F6E7B"/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Champ</w:t>
            </w:r>
          </w:p>
        </w:tc>
        <w:tc>
          <w:tcPr>
            <w:tcW w:type="dxa" w:w="6048"/>
            <w:shd w:val="clear" w:fill="1F6E7B"/>
          </w:tcPr>
          <w:p>
            <w:r>
              <w:rPr>
                <w:rFonts w:ascii="Consolas" w:hAnsi="Consolas"/>
                <w:b/>
                <w:i w:val="0"/>
                <w:color w:val="FFFFFF"/>
                <w:sz w:val="18"/>
              </w:rPr>
              <w:t>À renseigner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Société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votre société (par défaut)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Compte en-cours (23x)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 compte d'attente, ex. 231000 — le code doit commencer par 23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Modèle d'immobilisation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 modèle qui identifie la nature (ex. « Matériel informatique ») — ou VIDE pour la ligne générique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Compte définitif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 compte 21x / 205x cible (ex. 218300)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Journal d'OD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votre journal d'opérations diverses</w:t>
            </w:r>
          </w:p>
        </w:tc>
      </w:tr>
      <w:tr>
        <w:tc>
          <w:tcPr>
            <w:tcW w:type="dxa" w:w="3168"/>
            <w:shd w:val="clear" w:fill="F7F9F3"/>
          </w:tcPr>
          <w:p>
            <w:r>
              <w:rPr>
                <w:rFonts w:ascii="Consolas" w:hAnsi="Consolas"/>
                <w:b/>
                <w:i w:val="0"/>
                <w:color w:val="18241E"/>
                <w:sz w:val="18"/>
              </w:rPr>
              <w:t>Actif</w:t>
            </w:r>
          </w:p>
        </w:tc>
        <w:tc>
          <w:tcPr>
            <w:tcW w:type="dxa" w:w="6048"/>
            <w:shd w:val="clear" w:fill="F7F9F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coché</w:t>
            </w:r>
          </w:p>
        </w:tc>
      </w:tr>
    </w:tbl>
    <w:p>
      <w:pPr>
        <w:spacing w:after="0" w:before="160"/>
      </w:pPr>
    </w:p>
    <w:p>
      <w:pPr>
        <w:spacing w:before="160" w:after="40"/>
      </w:pPr>
      <w:r>
        <w:rPr>
          <w:rFonts w:ascii="Georgia" w:hAnsi="Georgia"/>
          <w:b/>
          <w:i w:val="0"/>
          <w:sz w:val="26"/>
        </w:rPr>
        <w:t>B.  Router un même 231000 vers plusieurs comptes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</w:rPr>
        <w:t>Une ligne par nature</w:t>
      </w:r>
      <w:r>
        <w:rPr>
          <w:rFonts w:ascii="Calibri" w:hAnsi="Calibri"/>
          <w:b w:val="0"/>
          <w:i w:val="0"/>
        </w:rPr>
        <w:t>, chacune avec son modèle : 231000 + Matériel informatique → 218300, 231000 + Mobilier → 218400, etc.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</w:rPr>
        <w:t>Au plus une ligne « générique »</w:t>
      </w:r>
      <w:r>
        <w:rPr>
          <w:rFonts w:ascii="Calibri" w:hAnsi="Calibri"/>
          <w:b w:val="0"/>
          <w:i w:val="0"/>
        </w:rPr>
        <w:t xml:space="preserve"> (modèle vide) par compte d'en-cours : elle sert de repli quand la fiche n'a pas de modèle mappé. Le cas 232000 → 205000 est une ligne générique.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 xml:space="preserve">Le système refuse deux lignes actives avec le </w:t>
      </w:r>
      <w:r>
        <w:rPr>
          <w:rFonts w:ascii="Calibri" w:hAnsi="Calibri"/>
          <w:b/>
          <w:i w:val="0"/>
        </w:rPr>
        <w:t>même compte en-cours ET le même modèle</w:t>
      </w:r>
      <w:r>
        <w:rPr>
          <w:rFonts w:ascii="Calibri" w:hAnsi="Calibri"/>
          <w:b w:val="0"/>
          <w:i w:val="0"/>
        </w:rPr>
        <w:t xml:space="preserve"> (ou deux génériques sur le même compte).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</w:rPr>
        <w:t>À la confirmation, le module prend d'abord la ligne dont le modèle = celui de la fiche, sinon la générique.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9E6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9C3B2E"/>
                <w:sz w:val="17"/>
              </w:rPr>
              <w:t>⚠️ Cas particuliers à arbitrer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« Matériel R&amp;D » et « Constructions » n'ont pas de modèle dédié : comme un seul </w:t>
            </w:r>
            <w:r>
              <w:rPr>
                <w:rFonts w:ascii="Calibri" w:hAnsi="Calibri"/>
                <w:b/>
                <w:i w:val="0"/>
              </w:rPr>
              <w:t>générique</w:t>
            </w:r>
            <w:r>
              <w:rPr>
                <w:rFonts w:ascii="Calibri" w:hAnsi="Calibri"/>
                <w:b w:val="0"/>
                <w:i w:val="0"/>
              </w:rPr>
              <w:t xml:space="preserve"> est permis par compte, affectez-leur un modèle existant (ou créez-en un via </w:t>
            </w:r>
            <w:r>
              <w:rPr>
                <w:rFonts w:ascii="Consolas" w:hAnsi="Consolas"/>
                <w:b w:val="0"/>
                <w:i w:val="0"/>
                <w:color w:val="16505A"/>
              </w:rPr>
              <w:t>Immobilisations ▸ Modèles</w:t>
            </w:r>
            <w:r>
              <w:rPr>
                <w:rFonts w:ascii="Calibri" w:hAnsi="Calibri"/>
                <w:b w:val="0"/>
                <w:i w:val="0"/>
              </w:rPr>
              <w:t>). Pour Constructions, ciblez un compte imputable réel (ex. 213100 « Bâtiments »), 213000 n'existant pas.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before="160" w:after="40"/>
      </w:pPr>
      <w:r>
        <w:rPr>
          <w:rFonts w:ascii="Georgia" w:hAnsi="Georgia"/>
          <w:b/>
          <w:i w:val="0"/>
          <w:sz w:val="26"/>
        </w:rPr>
        <w:t>C.  Rendre deux axes analytiques obligatoires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dans </w:t>
      </w:r>
      <w:r>
        <w:rPr>
          <w:rFonts w:ascii="Consolas" w:hAnsi="Consolas"/>
          <w:b w:val="0"/>
          <w:i w:val="0"/>
          <w:color w:val="16505A"/>
        </w:rPr>
        <w:t>Réglages ▸ Technique ▸ Paramètres ▸ Paramètres système</w:t>
      </w:r>
      <w:r>
        <w:rPr>
          <w:rFonts w:ascii="Calibri" w:hAnsi="Calibri"/>
          <w:b w:val="0"/>
          <w:i w:val="0"/>
        </w:rPr>
        <w:t xml:space="preserve">, clé </w:t>
      </w:r>
      <w:r>
        <w:rPr>
          <w:rFonts w:ascii="Consolas" w:hAnsi="Consolas"/>
          <w:b w:val="0"/>
          <w:i w:val="0"/>
          <w:color w:val="16505A"/>
        </w:rPr>
        <w:t>nuprod_asset_in_progress.required_analytic_plan_ids</w:t>
      </w:r>
      <w:r>
        <w:rPr>
          <w:rFonts w:ascii="Calibri" w:hAnsi="Calibri"/>
          <w:b w:val="0"/>
          <w:i w:val="0"/>
        </w:rPr>
        <w:t>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E6F2EA"/>
          </w:tcPr>
          <w:p>
            <w:pPr>
              <w:spacing w:after="40"/>
            </w:pPr>
            <w:r>
              <w:rPr>
                <w:rFonts w:ascii="Consolas" w:hAnsi="Consolas"/>
                <w:b/>
                <w:i w:val="0"/>
                <w:caps/>
                <w:color w:val="2E7A52"/>
                <w:sz w:val="17"/>
              </w:rPr>
              <w:t>✓ Ce que vous devez voir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</w:rPr>
              <w:t xml:space="preserve">Avec la valeur </w:t>
            </w:r>
            <w:r>
              <w:rPr>
                <w:rFonts w:ascii="Consolas" w:hAnsi="Consolas"/>
                <w:b w:val="0"/>
                <w:i w:val="0"/>
                <w:color w:val="16505A"/>
              </w:rPr>
              <w:t>13,10</w:t>
            </w:r>
            <w:r>
              <w:rPr>
                <w:rFonts w:ascii="Calibri" w:hAnsi="Calibri"/>
                <w:b w:val="0"/>
                <w:i w:val="0"/>
              </w:rPr>
              <w:t xml:space="preserve"> (CAPEX + Cost_Center), toute confirmation d'immobilisation sans ces deux axes est bloquée par un message listant l'axe manquant. Valeur vide = aucun contrôle.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spacing w:before="160" w:after="40"/>
      </w:pPr>
      <w:r>
        <w:rPr>
          <w:rFonts w:ascii="Georgia" w:hAnsi="Georgia"/>
          <w:b/>
          <w:i w:val="0"/>
          <w:sz w:val="26"/>
        </w:rPr>
        <w:t>D.  Écriture en brouillon ou postée</w:t>
      </w:r>
    </w:p>
    <w:p>
      <w:pPr>
        <w:spacing w:before="80"/>
      </w:pPr>
      <w:r>
        <w:rPr>
          <w:rFonts w:ascii="Calibri" w:hAnsi="Calibri"/>
          <w:b/>
          <w:i w:val="0"/>
        </w:rPr>
        <w:t xml:space="preserve">Vous faites : </w:t>
      </w:r>
      <w:r>
        <w:rPr>
          <w:rFonts w:ascii="Calibri" w:hAnsi="Calibri"/>
          <w:b w:val="0"/>
          <w:i w:val="0"/>
        </w:rPr>
        <w:t xml:space="preserve">clé </w:t>
      </w:r>
      <w:r>
        <w:rPr>
          <w:rFonts w:ascii="Consolas" w:hAnsi="Consolas"/>
          <w:b w:val="0"/>
          <w:i w:val="0"/>
          <w:color w:val="16505A"/>
        </w:rPr>
        <w:t>nuprod_asset_in_progress.auto_post</w:t>
      </w:r>
      <w:r>
        <w:rPr>
          <w:rFonts w:ascii="Calibri" w:hAnsi="Calibri"/>
          <w:b w:val="0"/>
          <w:i w:val="0"/>
        </w:rPr>
        <w:t xml:space="preserve"> : </w:t>
      </w:r>
      <w:r>
        <w:rPr>
          <w:rFonts w:ascii="Consolas" w:hAnsi="Consolas"/>
          <w:b w:val="0"/>
          <w:i w:val="0"/>
          <w:color w:val="16505A"/>
        </w:rPr>
        <w:t>False</w:t>
      </w:r>
      <w:r>
        <w:rPr>
          <w:rFonts w:ascii="Calibri" w:hAnsi="Calibri"/>
          <w:b w:val="0"/>
          <w:i w:val="0"/>
        </w:rPr>
        <w:t xml:space="preserve"> (défaut) = brouillon ; </w:t>
      </w:r>
      <w:r>
        <w:rPr>
          <w:rFonts w:ascii="Consolas" w:hAnsi="Consolas"/>
          <w:b w:val="0"/>
          <w:i w:val="0"/>
          <w:color w:val="16505A"/>
        </w:rPr>
        <w:t>True</w:t>
      </w:r>
      <w:r>
        <w:rPr>
          <w:rFonts w:ascii="Calibri" w:hAnsi="Calibri"/>
          <w:b w:val="0"/>
          <w:i w:val="0"/>
        </w:rPr>
        <w:t xml:space="preserve"> = postée automatiquement.</w:t>
      </w:r>
    </w:p>
    <w:p>
      <w:pPr>
        <w:spacing w:after="0" w:before="320"/>
      </w:pPr>
    </w:p>
    <w:p>
      <w:r>
        <w:rPr>
          <w:rFonts w:ascii="Consolas" w:hAnsi="Consolas"/>
          <w:b w:val="0"/>
          <w:i w:val="0"/>
          <w:color w:val="5A6A5E"/>
          <w:sz w:val="17"/>
        </w:rPr>
        <w:t>Module « Nuprod — Immobilisations en cours »  ·  v 19.0.2.0.0  ·  base de test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24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— Immobilisations en cours</dc:title>
  <dc:subject/>
  <dc:creator>Nuprod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