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44"/>
        </w:rPr>
        <w:t>ApniLeap Mini-Project Portfolio Portal</w:t>
      </w:r>
    </w:p>
    <w:p>
      <w:r>
        <w:rPr>
          <w:rFonts w:ascii="Calibri" w:hAnsi="Calibri"/>
          <w:color w:val="3182CE"/>
          <w:sz w:val="26"/>
        </w:rPr>
        <w:t>Demo Credentials, Project Creation &amp; Dashboard Input Guide</w:t>
      </w:r>
    </w:p>
    <w:p>
      <w:r>
        <w:rPr>
          <w:rFonts w:ascii="Calibri" w:hAnsi="Calibri"/>
          <w:i/>
          <w:color w:val="718096"/>
          <w:sz w:val="19"/>
        </w:rPr>
        <w:t>Portal URL: http://localhost:4000  |  Jira Cloud: https://apnileap-portfolio.atlassian.net  |  Default Password: Demo@12345</w:t>
      </w:r>
    </w:p>
    <w:p>
      <w:pPr>
        <w:spacing w:after="120"/>
      </w:pPr>
    </w:p>
    <w:p>
      <w:pPr>
        <w:pStyle w:val="Heading1"/>
      </w:pPr>
      <w:r>
        <w:rPr>
          <w:color w:val="1A365D"/>
        </w:rPr>
        <w:t>1. Institutional User Accounts &amp; Demo Credentials</w:t>
      </w:r>
    </w:p>
    <w:p>
      <w:r>
        <w:t xml:space="preserve">All pre-configured user accounts are initialized with the standard password: </w:t>
      </w:r>
      <w:r>
        <w:rPr>
          <w:b/>
          <w:color w:val="C53030"/>
        </w:rPr>
        <w:t>Demo@12345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Permissions &amp; Access Scope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Platform Administrator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admin@apnileap.org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Global governance, cross-institutional oversight, user &amp; policy management.</w:t>
            </w:r>
          </w:p>
        </w:tc>
      </w:tr>
      <w:tr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Global Programme Leader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gpl@apnileap.org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High-level cross-institute portfolio drilldowns and status reviews.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Dean / Principal (KLE)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kle.dean@apnileap.org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Institutional portfolio reviews, RAG governance approval, project creation across all departments.</w:t>
            </w:r>
          </w:p>
        </w:tc>
      </w:tr>
      <w:tr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Head of Dept - CSE (AI)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kle.hod.cseai@apnileap.org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CSE-AI department project creation, mentor allocation, review approvals.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Head of Dept - CSE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kle.hod.cse@apnileap.org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CSE department project creation, mentor reviews, portfolio governance.</w:t>
            </w:r>
          </w:p>
        </w:tc>
      </w:tr>
      <w:tr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 / Guide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sujata.kotabagi@kletech.ac.in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Mentored projects, milestone &amp; KPI updates, challenge resolution, Kanban management.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Account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01fe23bcs001@kletech.ac.in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Read/write project workspace, task movement, challenge reporting, evidence submission.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2. How Higher Authorities Insert a New Project</w:t>
      </w:r>
    </w:p>
    <w:p>
      <w:r>
        <w:rPr>
          <w:b/>
          <w:color w:val="2B6CB0"/>
        </w:rPr>
        <w:t xml:space="preserve">• Step 1: Sign in with a Governance Account: </w:t>
      </w:r>
      <w:r>
        <w:t>Log in at http://localhost:4000 with kle.hod.cseai@apnileap.org or kle.dean@apnileap.org (Password: Demo@12345).</w:t>
      </w:r>
    </w:p>
    <w:p>
      <w:r>
        <w:rPr>
          <w:b/>
          <w:color w:val="2B6CB0"/>
        </w:rPr>
        <w:t xml:space="preserve">• Step 2: Navigate to Department &amp; Theme: </w:t>
      </w:r>
      <w:r>
        <w:t>Go to Departments -&gt; Computer Science and Engineering (AI) -&gt; Edge AI &amp; Computer Vision (or any theme), then click '+ Add Project'.</w:t>
      </w:r>
    </w:p>
    <w:p>
      <w:r>
        <w:rPr>
          <w:b/>
          <w:color w:val="2B6CB0"/>
        </w:rPr>
        <w:t xml:space="preserve">• Step 3: Enter Project &amp; Team Details: </w:t>
      </w:r>
      <w:r>
        <w:t>Fill in the project title, artefact title, mentor name, academic year, semester, and the 4 student team members (details provided below).</w:t>
      </w:r>
    </w:p>
    <w:p>
      <w:r>
        <w:rPr>
          <w:b/>
          <w:color w:val="2B6CB0"/>
        </w:rPr>
        <w:t xml:space="preserve">• Step 4: Save &amp; Automated Jira Provisioning: </w:t>
      </w:r>
      <w:r>
        <w:t>Click 'Save Project'. ApniLeap automatically creates the project, registers the Jira Cloud project, provisions a dedicated Kanban board, grants public authenticated permissions, and seeds starter tasks.</w:t>
      </w:r>
    </w:p>
    <w:p>
      <w:r>
        <w:rPr>
          <w:b/>
          <w:color w:val="2B6CB0"/>
        </w:rPr>
        <w:t xml:space="preserve">• Step 5: Verify on Dashboard &amp; Jira: </w:t>
      </w:r>
      <w:r>
        <w:t>Click the '[🔷 Jira Kanban Board ↗]' button on the Project Dashboard or Workspace to see the live board on Jira Cloud with all tasks pre-populated.</w:t>
      </w:r>
    </w:p>
    <w:p>
      <w:pPr>
        <w:spacing w:after="200"/>
      </w:pPr>
    </w:p>
    <w:p>
      <w:pPr>
        <w:pStyle w:val="Heading1"/>
      </w:pPr>
      <w:r>
        <w:rPr>
          <w:color w:val="1A365D"/>
        </w:rPr>
        <w:t>3. Ready-to-Copy Demo Project Input Data</w:t>
      </w:r>
    </w:p>
    <w:p>
      <w:r>
        <w:t>Use the following sample values to test the 'Add Project'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528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 Field</w:t>
            </w:r>
          </w:p>
        </w:tc>
        <w:tc>
          <w:tcPr>
            <w:tcW w:type="dxa" w:w="5040"/>
            <w:shd w:fill="2C528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Input 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Project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Real-Time Edge AI Vision for Automated Defect Inspection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Artefact Title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Automated Industrial Vision Defect Inspector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 Year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2026-27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Semester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Dr. Sujata Kotabagi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Computer Science and Engineering (AI)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Edge AI &amp; Computer Vision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1 (Lead)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Aditya Kulkarni | SRN: 01FE23BCS951 | Div: A | Sem: 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2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Pooja Patil | SRN: 01FE23BCS952 | Div: A | Sem: Sem-5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3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Siddharth Joshi | SRN: 01FE23BCS953 | Div: A | Sem: 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4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Sneha Hegde | SRN: 01FE23BCS954 | Div: A | Sem: Sem-5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4. Sample Challenges &amp; Corrective Actions (For Dashboard Input)</w:t>
      </w:r>
    </w:p>
    <w:p>
      <w:r>
        <w:t>Navigate to Project Tracking -&gt; Challenges &amp; Actions tab in the project dashboard, click '+ Log Challenge', and paste any of the following items:</w:t>
      </w:r>
    </w:p>
    <w:p>
      <w:r>
        <w:rPr>
          <w:b/>
          <w:color w:val="C53030"/>
          <w:sz w:val="22"/>
        </w:rPr>
        <w:t>[Challenge 1] GPU memory allocation exhaustion during high-resolution batch training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GPU memory allocation exhaustion during high-resolution batch training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Full-resolution uncompressed video frames loaded simultaneously into host VRAM without streaming DataLoader buffers.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Training process crashes unexpectedly during epoch transitions, stalling model convergence.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Lab administrator access to configure PyTorch CUDA memory caching allocator and high-capacity RAM node.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Initial 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IN_PROGRESS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Implement chunk-based streaming data loader using PyTorch IterableDataset and dynamic batch resizing.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Aditya Kulkarni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7 days from today</w:t>
            </w:r>
          </w:p>
        </w:tc>
      </w:tr>
    </w:tbl>
    <w:p>
      <w:pPr>
        <w:spacing w:after="120"/>
      </w:pPr>
    </w:p>
    <w:p>
      <w:r>
        <w:rPr>
          <w:b/>
          <w:color w:val="C53030"/>
          <w:sz w:val="22"/>
        </w:rPr>
        <w:t>[Challenge 2] Multi-tenant model inferencing latency exceeding 50ms real-time SLA threshold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Multi-tenant model inferencing latency exceeding 50ms real-time SLA threshold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Concurrent inspection requests queue up on a single GPU stream without dynamic request batching.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Production line defect detection lags behind conveyor belt speed, risking uninspected components.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Provisioning Triton Inference Server instance with NVIDIA TensorRT runtime acceleration.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Initial 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Deploy Triton dynamic batching scheduler to coalesce inference requests into micro-batches of 8.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Pooja Patil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 days from today</w:t>
            </w:r>
          </w:p>
        </w:tc>
      </w:tr>
    </w:tbl>
    <w:p>
      <w:pPr>
        <w:spacing w:after="120"/>
      </w:pPr>
    </w:p>
    <w:p>
      <w:r>
        <w:rPr>
          <w:b/>
          <w:color w:val="C53030"/>
          <w:sz w:val="22"/>
        </w:rPr>
        <w:t>[Challenge 3] Severe class imbalance in defect dataset yielding elevated false-negative rates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Severe class imbalance in defect dataset yielding elevated false-negative rates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Historical factory dataset contains over 98% non-defective samples, skewing classifier decision boundaries.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Critical surface micro-cracks fail detection criteria during automated inspection rounds.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 review of synthetic augmentation techniques (CycleGAN / Diffusion models).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Initial 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Apply Focal Loss optimization function and generate 500 synthetic defect samples via Albumentations pipeline.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Siddharth Joshi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 days from today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1"/>
      </w:pPr>
      <w:r>
        <w:rPr>
          <w:color w:val="1A365D"/>
        </w:rPr>
        <w:t>5. Sample Key Performance Indicators (KPIs) &amp; Measurements</w:t>
      </w:r>
    </w:p>
    <w:p>
      <w:r>
        <w:t>Navigate to Project Tracking -&gt; KPIs tab in the project dashboard, click '+ Add KPI', and enter these quantitative engineering metrics:</w:t>
      </w:r>
    </w:p>
    <w:p>
      <w:r>
        <w:rPr>
          <w:b/>
          <w:color w:val="2C5282"/>
          <w:sz w:val="22"/>
        </w:rPr>
        <w:t>[KPI 1] End-to-End Defect Detection Latency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End-to-End Defect Detection Latency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Total duration elapsed from camera sensor frame capture through neural inference to defect classification trigger.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 (for measurement update)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38.2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 Note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NVIDIA TensorRT benchmark log on Jetson Orin Nano with batch size 1 across 1,000 continuous test frames.</w:t>
            </w:r>
          </w:p>
        </w:tc>
      </w:tr>
    </w:tbl>
    <w:p>
      <w:pPr>
        <w:spacing w:after="120"/>
      </w:pPr>
    </w:p>
    <w:p>
      <w:r>
        <w:rPr>
          <w:b/>
          <w:color w:val="2C5282"/>
          <w:sz w:val="22"/>
        </w:rPr>
        <w:t>[KPI 2] Mean Average Precision (mAP@0.50)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Mean Average Precision (mAP@0.50)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92.5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Object detection accuracy metric for surface scratch and crack localization validated on held-out test split.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 (for measurement update)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94.1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 Note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PyTorch evaluation script output evaluating 1,200 annotated ground-truth test images.</w:t>
            </w:r>
          </w:p>
        </w:tc>
      </w:tr>
    </w:tbl>
    <w:p>
      <w:pPr>
        <w:spacing w:after="120"/>
      </w:pPr>
    </w:p>
    <w:p>
      <w:r>
        <w:rPr>
          <w:b/>
          <w:color w:val="2C5282"/>
          <w:sz w:val="22"/>
        </w:rPr>
        <w:t>[KPI 3] Camera Ingestion Pipeline Throughput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Camera Ingestion Pipeline Throughput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60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fps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Sustained frames-per-second processed by OpenCV GStreamer hardware-accelerated video decoding pipe.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 (for measurement update)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62.4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 Note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GStreamer pipeline telemetry timestamps logged over 15 minutes of uninterrupted industrial camera stream.</w:t>
            </w:r>
          </w:p>
        </w:tc>
      </w:tr>
    </w:tbl>
    <w:p>
      <w:pPr>
        <w:spacing w:after="120"/>
      </w:pPr>
    </w:p>
    <w:p>
      <w:r>
        <w:rPr>
          <w:b/>
          <w:color w:val="2C5282"/>
          <w:sz w:val="22"/>
        </w:rPr>
        <w:t>[KPI 4] Edge Device Power Dissipation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Edge Device Power Dissipation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Watts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Total thermal design power drawn by edge accelerator during maximum-load continuous inference loops.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 (for measurement update)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12.8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 Note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Hardware power meter telemetry reading via Jetson jtop power rail monitoring utility.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