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C6E"/>
          <w:sz w:val="40"/>
        </w:rPr>
        <w:t>ApniLeap — Demo Data Cheat Sheet</w:t>
      </w:r>
    </w:p>
    <w:p>
      <w:pPr>
        <w:spacing w:after="200"/>
      </w:pPr>
      <w:r>
        <w:rPr>
          <w:rFonts w:ascii="Arial" w:hAnsi="Arial"/>
          <w:color w:val="555555"/>
          <w:sz w:val="22"/>
        </w:rPr>
        <w:t>Pre-Validated Sample KPIs and Challenges for Live Demonstration &amp; Jira Sync</w:t>
      </w:r>
    </w:p>
    <w:p>
      <w:pPr>
        <w:spacing w:after="280"/>
        <w:ind w:left="144"/>
      </w:pPr>
      <w:r>
        <w:rPr>
          <w:b/>
          <w:color w:val="0A4DB0"/>
        </w:rPr>
        <w:t xml:space="preserve">Quick Demo Note: </w:t>
      </w:r>
      <w:r>
        <w:rPr>
          <w:sz w:val="19"/>
        </w:rPr>
        <w:t>Copy and paste these exact inputs during your presentation. When you add a Challenge in ApniLeap, it immediately triggers a REST API call to Jira Cloud creating the corresponding issue in the Kanban board. When you add a KPI, you can record sample measurements to showcase student tracking.</w:t>
      </w:r>
    </w:p>
    <w:p>
      <w:pPr>
        <w:spacing w:before="240" w:after="80"/>
      </w:pPr>
      <w:r>
        <w:rPr>
          <w:rFonts w:ascii="Arial" w:hAnsi="Arial"/>
          <w:b/>
          <w:color w:val="1A3C6E"/>
          <w:sz w:val="26"/>
        </w:rPr>
        <w:t>Project: AL-KLE-026 — Smart Campus Lab &amp; Resource Optimizer  (Jira: ALKLE026)</w:t>
      </w:r>
    </w:p>
    <w:p>
      <w:pPr>
        <w:spacing w:before="120" w:after="80"/>
      </w:pPr>
      <w:r>
        <w:rPr>
          <w:rFonts w:ascii="Arial" w:hAnsi="Arial"/>
          <w:b/>
          <w:color w:val="1E7E34"/>
          <w:sz w:val="22"/>
        </w:rPr>
        <w:t>1. Demo KPIs (Project Dashboard -&gt; KPIs Tab -&gt; + Add KPI / Add Measurement)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E6F4EA"/>
          </w:tcPr>
          <w:p>
            <w:r>
              <w:rPr>
                <w:b/>
                <w:sz w:val="18"/>
              </w:rPr>
              <w:t>KPI Name</w:t>
            </w:r>
          </w:p>
        </w:tc>
        <w:tc>
          <w:tcPr>
            <w:tcW w:type="dxa" w:w="2160"/>
            <w:shd w:fill="E6F4EA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160"/>
            <w:shd w:fill="E6F4EA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2160"/>
            <w:shd w:fill="E6F4EA"/>
          </w:tcPr>
          <w:p>
            <w:r>
              <w:rPr>
                <w:b/>
                <w:sz w:val="18"/>
              </w:rPr>
              <w:t>Sample Measure</w:t>
            </w:r>
          </w:p>
        </w:tc>
        <w:tc>
          <w:tcPr>
            <w:tcW w:type="dxa" w:w="2160"/>
            <w:shd w:fill="E6F4EA"/>
          </w:tcPr>
          <w:p>
            <w:r>
              <w:rPr>
                <w:b/>
                <w:sz w:val="18"/>
              </w:rPr>
              <w:t>Evidence 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Model Inference &amp; System Latency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42.8 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Triton Dynamic Batching benchmark logs on NVIDIA RTX 4090 cluster.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Lab Seat &amp; GPU Utilization Efficiency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88.4 %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Campus telemetry MQTT broker aggregated report across 6 computing labs.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Pipeline Allocation Throughput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req/sec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135 req/sec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Locust stress test results showing zero dropped requests under peak load.</w:t>
            </w:r>
          </w:p>
        </w:tc>
      </w:tr>
    </w:tbl>
    <w:p>
      <w:pPr>
        <w:spacing w:after="160"/>
      </w:pPr>
    </w:p>
    <w:p>
      <w:pPr>
        <w:spacing w:before="120" w:after="80"/>
      </w:pPr>
      <w:r>
        <w:rPr>
          <w:rFonts w:ascii="Arial" w:hAnsi="Arial"/>
          <w:b/>
          <w:color w:val="7A5600"/>
          <w:sz w:val="22"/>
        </w:rPr>
        <w:t>2. Demo Challenges (Project Dashboard -&gt; Challenges Tab -&gt; + Add Challenge)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FFF6DF"/>
          </w:tcPr>
          <w:p>
            <w:r>
              <w:rPr>
                <w:b/>
                <w:sz w:val="18"/>
              </w:rPr>
              <w:t>Modal Field</w:t>
            </w:r>
          </w:p>
        </w:tc>
        <w:tc>
          <w:tcPr>
            <w:tcW w:type="dxa" w:w="3600"/>
            <w:shd w:fill="FFF6DF"/>
          </w:tcPr>
          <w:p>
            <w:r>
              <w:rPr>
                <w:b/>
                <w:sz w:val="18"/>
              </w:rPr>
              <w:t>Challenge #1 (Copy &amp; Paste)</w:t>
            </w:r>
          </w:p>
        </w:tc>
        <w:tc>
          <w:tcPr>
            <w:tcW w:type="dxa" w:w="3600"/>
            <w:shd w:fill="FFF6DF"/>
          </w:tcPr>
          <w:p>
            <w:r>
              <w:rPr>
                <w:b/>
                <w:sz w:val="18"/>
              </w:rPr>
              <w:t>Challenge #2 (Copy &amp; Paste)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7"/>
              </w:rPr>
              <w:t>Title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High GPU memory contention during concurrent model inferencing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MQTT sensor heartbeat packets dropped under campus firewall rules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7"/>
              </w:rPr>
              <w:t>Root Cause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Multiple client microservices allocating unshared VRAM buffers without request throttling.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Outbound port 1883 blocked on primary academic VLAN subnet.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7"/>
              </w:rPr>
              <w:t>Impact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Inference latency spikes up to 340ms, causing timeouts in campus desktop app.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Real-time occupancy status displays 0 seats available in Lab 204.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7"/>
              </w:rPr>
              <w:t>Support Required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Server access to configure Triton Dynamic Batching with priority queues.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Campus Network Admin to whitelist port 1883 or enable WSS bridge.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7"/>
              </w:rPr>
              <w:t>Corrective Action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Deploy Triton dynamic queue manager and set maximum batch size to 8.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Switch sensor telemetry client to Secure WebSockets (port 443/WSS).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7"/>
              </w:rPr>
              <w:t>Action Owner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KLE Student Lead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Vihaan Hegde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7"/>
              </w:rPr>
              <w:t>Jira Cloud Sync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Issue automatically created in Jira board ALKLE026 with Bug/Task type.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Issue automatically synced to Jira board ALKLE026 with student-blocker label.</w:t>
            </w:r>
          </w:p>
        </w:tc>
      </w:tr>
    </w:tbl>
    <w:p>
      <w:pPr>
        <w:spacing w:after="280"/>
      </w:pPr>
    </w:p>
    <w:p>
      <w:pPr>
        <w:spacing w:before="240" w:after="80"/>
      </w:pPr>
      <w:r>
        <w:rPr>
          <w:rFonts w:ascii="Arial" w:hAnsi="Arial"/>
          <w:b/>
          <w:color w:val="1A3C6E"/>
          <w:sz w:val="26"/>
        </w:rPr>
        <w:t>Project: AL-KLE-023 — Adaptive Video Streaming &amp; Buffer Management Engine  (Jira: ALKLE023)</w:t>
      </w:r>
    </w:p>
    <w:p>
      <w:pPr>
        <w:spacing w:before="120" w:after="80"/>
      </w:pPr>
      <w:r>
        <w:rPr>
          <w:rFonts w:ascii="Arial" w:hAnsi="Arial"/>
          <w:b/>
          <w:color w:val="1E7E34"/>
          <w:sz w:val="22"/>
        </w:rPr>
        <w:t>1. Demo KPIs (Project Dashboard -&gt; KPIs Tab -&gt; + Add KPI / Add Measurement)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E6F4EA"/>
          </w:tcPr>
          <w:p>
            <w:r>
              <w:rPr>
                <w:b/>
                <w:sz w:val="18"/>
              </w:rPr>
              <w:t>KPI Name</w:t>
            </w:r>
          </w:p>
        </w:tc>
        <w:tc>
          <w:tcPr>
            <w:tcW w:type="dxa" w:w="2160"/>
            <w:shd w:fill="E6F4EA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160"/>
            <w:shd w:fill="E6F4EA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2160"/>
            <w:shd w:fill="E6F4EA"/>
          </w:tcPr>
          <w:p>
            <w:r>
              <w:rPr>
                <w:b/>
                <w:sz w:val="18"/>
              </w:rPr>
              <w:t>Sample Measure</w:t>
            </w:r>
          </w:p>
        </w:tc>
        <w:tc>
          <w:tcPr>
            <w:tcW w:type="dxa" w:w="2160"/>
            <w:shd w:fill="E6F4EA"/>
          </w:tcPr>
          <w:p>
            <w:r>
              <w:rPr>
                <w:b/>
                <w:sz w:val="18"/>
              </w:rPr>
              <w:t>Evidence 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End-to-End Streaming Latency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38.5 ms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WebRTC peer-to-peer data channel telemetry timestamp difference.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Buffer Stall / Rebuffering Ratio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0.32 %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ExoPlayer analytics telemetry under synthetic 3G/4G bandwidth throttling.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Frame Rendering Throughput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fps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59.4 fps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Hardware-accelerated OpenGL surface view frame counter log.</w:t>
            </w:r>
          </w:p>
        </w:tc>
      </w:tr>
    </w:tbl>
    <w:p>
      <w:pPr>
        <w:spacing w:after="160"/>
      </w:pPr>
    </w:p>
    <w:p>
      <w:pPr>
        <w:spacing w:before="120" w:after="80"/>
      </w:pPr>
      <w:r>
        <w:rPr>
          <w:rFonts w:ascii="Arial" w:hAnsi="Arial"/>
          <w:b/>
          <w:color w:val="7A5600"/>
          <w:sz w:val="22"/>
        </w:rPr>
        <w:t>2. Demo Challenges (Project Dashboard -&gt; Challenges Tab -&gt; + Add Challenge)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FFF6DF"/>
          </w:tcPr>
          <w:p>
            <w:r>
              <w:rPr>
                <w:b/>
                <w:sz w:val="18"/>
              </w:rPr>
              <w:t>Modal Field</w:t>
            </w:r>
          </w:p>
        </w:tc>
        <w:tc>
          <w:tcPr>
            <w:tcW w:type="dxa" w:w="3600"/>
            <w:shd w:fill="FFF6DF"/>
          </w:tcPr>
          <w:p>
            <w:r>
              <w:rPr>
                <w:b/>
                <w:sz w:val="18"/>
              </w:rPr>
              <w:t>Challenge #1 (Copy &amp; Paste)</w:t>
            </w:r>
          </w:p>
        </w:tc>
        <w:tc>
          <w:tcPr>
            <w:tcW w:type="dxa" w:w="3600"/>
            <w:shd w:fill="FFF6DF"/>
          </w:tcPr>
          <w:p>
            <w:r>
              <w:rPr>
                <w:b/>
                <w:sz w:val="18"/>
              </w:rPr>
              <w:t>Challenge #2 (Copy &amp; Paste)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7"/>
              </w:rPr>
              <w:t>Title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Dataset preprocessing RAM overflow during video chunk indexing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Adaptive bitrate (ABR) oscillations during rapid network handoff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7"/>
              </w:rPr>
              <w:t>Root Cause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Loading uncompressed 4K raw video chunks directly into worker RAM.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Throughput estimation heuristic reacting aggressively to packet burst drops.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7"/>
              </w:rPr>
              <w:t>Impact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Training job crashes with Exit Code 137 (OOM Killer) at epoch 4.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Frequent quality downgrades causing visual buffering artifacts for viewers.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7"/>
              </w:rPr>
              <w:t>Support Required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Allocation of compute VM with PyTorch memory mapping support.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Faculty Mentor guidance on BOLA (Buffer Occupancy based Lyapunov) tuning.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7"/>
              </w:rPr>
              <w:t>Corrective Action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Implement streaming PyTorch chunk generators with disk memory-mapping (mmap).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Implement exponential moving average filter on throughput estimation window.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7"/>
              </w:rPr>
              <w:t>Action Owner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Aarav Kulkarni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Rohan Patil</w:t>
            </w:r>
          </w:p>
        </w:tc>
      </w:tr>
      <w:tr>
        <w:tc>
          <w:tcPr>
            <w:tcW w:type="dxa" w:w="3600"/>
          </w:tcPr>
          <w:p>
            <w:r>
              <w:rPr>
                <w:b/>
                <w:sz w:val="17"/>
              </w:rPr>
              <w:t>Jira Cloud Sync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Issue automatically created in Jira board ALKLE023.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  <w:t>Issue created and linked with Corrective Action in Jira board ALKLE023.</w:t>
            </w:r>
          </w:p>
        </w:tc>
      </w:tr>
    </w:tbl>
    <w:p>
      <w:pPr>
        <w:spacing w:after="280"/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