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Part 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3.393298761844"/>
        <w:gridCol w:w="1024.03950408726"/>
        <w:gridCol w:w="1024.03950408726"/>
        <w:gridCol w:w="1024.03950408726"/>
        <w:tblGridChange w:id="0">
          <w:tblGrid>
            <w:gridCol w:w="5953.393298761844"/>
            <w:gridCol w:w="1024.03950408726"/>
            <w:gridCol w:w="1024.03950408726"/>
            <w:gridCol w:w="1024.0395040872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Group Number 79</w:t>
            </w:r>
          </w:p>
          <w:tbl>
            <w:tblPr>
              <w:tblStyle w:val="Table2"/>
              <w:tblW w:w="57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17.6666666666667"/>
              <w:gridCol w:w="1917.6666666666667"/>
              <w:gridCol w:w="1917.6666666666667"/>
              <w:tblGridChange w:id="0">
                <w:tblGrid>
                  <w:gridCol w:w="1917.6666666666667"/>
                  <w:gridCol w:w="1917.6666666666667"/>
                  <w:gridCol w:w="1917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  <w:rtl w:val="0"/>
                    </w:rPr>
                    <w:t xml:space="preserve">Member Names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  <w:rtl w:val="0"/>
                    </w:rPr>
                    <w:t xml:space="preserve">BITS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1d2125"/>
                      <w:sz w:val="24"/>
                      <w:szCs w:val="24"/>
                      <w:rtl w:val="0"/>
                    </w:rPr>
                    <w:t xml:space="preserve">Contribution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d2125"/>
                      <w:sz w:val="23"/>
                      <w:szCs w:val="23"/>
                      <w:rtl w:val="0"/>
                    </w:rPr>
                    <w:t xml:space="preserve">M S ANJANA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100 %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bottom w:color="auto" w:space="0" w:sz="0" w:val="none"/>
                    </w:pBdr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LADDHA SACHIN RAMBILAS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2023ac05564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100 %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NAKUL V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100 %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  <w:rtl w:val="0"/>
                    </w:rPr>
                    <w:t xml:space="preserve">NEGI NUPUR RAVINDERSINGH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d2125"/>
                      <w:sz w:val="24"/>
                      <w:szCs w:val="24"/>
                      <w:rtl w:val="0"/>
                    </w:rPr>
                    <w:t xml:space="preserve">2023ac05812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color w:val="1d212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d2125"/>
                      <w:sz w:val="24"/>
                      <w:szCs w:val="24"/>
                      <w:rtl w:val="0"/>
                    </w:rPr>
                    <w:t xml:space="preserve">100 %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Domain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6"/>
                <w:szCs w:val="26"/>
                <w:rtl w:val="0"/>
              </w:rPr>
              <w:t xml:space="preserve"> - Human Activity Recognition from videos</w:t>
            </w:r>
          </w:p>
          <w:p w:rsidR="00000000" w:rsidDel="00000000" w:rsidP="00000000" w:rsidRDefault="00000000" w:rsidRPr="00000000" w14:paraId="00000018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Paper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Paper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Paper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Title of the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ViT-ReT: Vision and Recurrent Transformer Neural Networks for Human Activity Recognition in Videos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James Wensel, Hayat Ullah, and Arslan Munir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Year of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2023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Architecture of Deep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ViT-ReT - Vision Transformer - Recurring Transformer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Times New Roman" w:cs="Times New Roman" w:eastAsia="Times New Roman" w:hAnsi="Times New Roman"/>
                <w:color w:val="1d2125"/>
              </w:rPr>
            </w:pPr>
            <w:bookmarkStart w:colFirst="0" w:colLast="0" w:name="_g700ehttsyz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rtl w:val="0"/>
              </w:rPr>
              <w:t xml:space="preserve">Vision Transformer (ViT)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Purpose: This component replaces traditional Convolutional Neural Networks (CNNs) to extract spatial features from video frames.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How it works: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Video frames are divided into smaller patches, such as 8×88 \times 88×8 pixel grids. These patches are then embedded into a sequence of vectors.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A self-attention mechanism processes these vectors to learn the relationships between different patches, effectively capturing spatial features.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ViT uses pre-trained weights from large datasets like ImageNet, making it efficient for transfer learning.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Unique Features: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It is lightweight compared to deep CNNs like ResNet, making it ideal for resource-constrained environments.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spacing w:after="24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Unlike CNNs, it doesn't rely on convolutional layers; instead, it treats image patches as sequences, akin to words in a sentence.</w:t>
            </w:r>
          </w:p>
          <w:p w:rsidR="00000000" w:rsidDel="00000000" w:rsidP="00000000" w:rsidRDefault="00000000" w:rsidRPr="00000000" w14:paraId="0000003B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Times New Roman" w:cs="Times New Roman" w:eastAsia="Times New Roman" w:hAnsi="Times New Roman"/>
                <w:color w:val="1d2125"/>
              </w:rPr>
            </w:pPr>
            <w:bookmarkStart w:colFirst="0" w:colLast="0" w:name="_jw7aii3xdybd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rtl w:val="0"/>
              </w:rPr>
              <w:t xml:space="preserve">Recurrent Transformer (ReT)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Purpose: This component replaces traditional Recurrent Neural Networks (RNNs) to model temporal dependencies in video data.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How it works: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ReT processes sequences of video frames with positional encodings to maintain the order of the frames.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Unlike RNNs, which process sequences step-by-step, the Transformer encoder can parallelize computations, greatly improving efficiency.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Unique Features: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7"/>
              </w:numPr>
              <w:spacing w:after="24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It avoids the bottleneck associated with RNNs, making it faster and more scalable for long sequences.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By integrating these two components, the ViT-ReT framework efficiently handles the dual challenge of spatial and temporal feature extraction in video-based human activity recognition.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bottom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bottom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bottom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bottom w:color="auto" w:space="0" w:sz="0" w:val="none"/>
              </w:pBd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9.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How is the network helping the overall task?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Human activity recognition involves understanding not just what is visible in individual frames but also how these frames relate over time. For example, recognizing a “high jump” requires analyzing the motion and sequence of the activity.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Feature Extraction: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ViT handles spatial feature extraction, analyzing what is happening in each individual frame, such as identifying objects or body parts.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Temporal Modeling: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ReT looks at how these features change over time, making it possible to understand actions like walking, jumping, or waving.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Efficiency: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1"/>
              </w:numPr>
              <w:spacing w:after="24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This approach significantly reduces the computational cost compared to traditional CNN-RNN models while maintaining or improving accuracy.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Training procedures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Data Preprocessing: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Video frames are resized to 224×224224 \times 224224×224 pixels, and only 20 frames per video are sampled. This reduces computational load without sacrificing key information.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Frames are preprocessed and stored to save time during training.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Optimization Algorithm: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Adam optimizer is used for faster and more stable convergence.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Hyperparameters: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Batch size: 4 (small batches are used due to the computational complexity of Transformers).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Training epochs: 50.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Regularization: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Dropout and normalization layers are employed to prevent overfitting.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Separate Training for Components: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The Vision Transformer is pre-trained on ImageNet, and the Recurrent Transformer is trained on extracted features from video datasets.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Evaluation / Performance metric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Accuracy: The percentage of correctly classified activities.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Loss: Measured using categorical cross-entropy.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Efficiency Metrics: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Training Time: The time required to train the model.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Throughput Time: How quickly the model can make predictions.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0"/>
              </w:numPr>
              <w:spacing w:after="24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Memory Usage: The amount of memory required for inference.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UCF101: A dataset of 13,320 videos across 101 categories (e.g., sports activities, gestures).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URL: UCF101 Dataset.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Additional Datasets: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YouTube Action Dataset.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HMDB51 Dataset.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  <w:rtl w:val="0"/>
              </w:rPr>
              <w:t xml:space="preserve">UCF50 Dataset.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bottom w:color="auto" w:space="0" w:sz="0" w:val="none"/>
              </w:pBdr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Name of Dataset used. If a public dataset, provide the 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https://www.kaggle.com/datasets/matthewjansen/ucf101-action-recognition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tthewjansen/ucf101-action-recogni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