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3182CE"/>
          <w:sz w:val="22"/>
        </w:rPr>
        <w:t>PROJECT PROPOSAL &amp; TECHNICAL REPORT</w:t>
      </w:r>
    </w:p>
    <w:p>
      <w:pPr>
        <w:spacing w:after="160"/>
      </w:pPr>
      <w:r>
        <w:rPr>
          <w:rFonts w:ascii="Calibri" w:hAnsi="Calibri"/>
          <w:b/>
          <w:color w:val="1A365D"/>
          <w:sz w:val="34"/>
        </w:rPr>
        <w:t>Development of an Intelligent Web System for Selecting Diploma Project Topic and Forming Students Teams</w:t>
      </w:r>
    </w:p>
    <w:p>
      <w:pPr>
        <w:spacing w:after="280"/>
      </w:pPr>
      <w:r>
        <w:rPr>
          <w:rFonts w:ascii="Calibri" w:hAnsi="Calibri"/>
          <w:b/>
          <w:color w:val="2D3748"/>
          <w:sz w:val="19"/>
        </w:rPr>
        <w:t xml:space="preserve">Academic Year: </w:t>
      </w:r>
      <w:r>
        <w:rPr>
          <w:rFonts w:ascii="Calibri" w:hAnsi="Calibri"/>
          <w:b w:val="0"/>
          <w:color w:val="2D3748"/>
          <w:sz w:val="19"/>
        </w:rPr>
        <w:t xml:space="preserve">2025-2026  |  </w:t>
      </w:r>
      <w:r>
        <w:rPr>
          <w:rFonts w:ascii="Calibri" w:hAnsi="Calibri"/>
          <w:b/>
          <w:color w:val="2D3748"/>
          <w:sz w:val="19"/>
        </w:rPr>
        <w:t xml:space="preserve">Institution: </w:t>
      </w:r>
      <w:r>
        <w:rPr>
          <w:rFonts w:ascii="Calibri" w:hAnsi="Calibri"/>
          <w:b w:val="0"/>
          <w:color w:val="2D3748"/>
          <w:sz w:val="19"/>
        </w:rPr>
        <w:t xml:space="preserve">Astana IT University  |  </w:t>
      </w:r>
      <w:r>
        <w:rPr>
          <w:rFonts w:ascii="Calibri" w:hAnsi="Calibri"/>
          <w:b/>
          <w:color w:val="2D3748"/>
          <w:sz w:val="19"/>
        </w:rPr>
        <w:t xml:space="preserve">Curriculum: </w:t>
      </w:r>
      <w:r>
        <w:rPr>
          <w:rFonts w:ascii="Calibri" w:hAnsi="Calibri"/>
          <w:b w:val="0"/>
          <w:color w:val="2D3748"/>
          <w:sz w:val="19"/>
        </w:rPr>
        <w:t>3-Year Accelerated Bachelor Degree</w:t>
        <w:br/>
      </w:r>
      <w:r>
        <w:rPr>
          <w:rFonts w:ascii="Calibri" w:hAnsi="Calibri"/>
          <w:b/>
          <w:color w:val="2D3748"/>
          <w:sz w:val="19"/>
        </w:rPr>
        <w:t xml:space="preserve">Department: </w:t>
      </w:r>
      <w:r>
        <w:rPr>
          <w:rFonts w:ascii="Calibri" w:hAnsi="Calibri"/>
          <w:b w:val="0"/>
          <w:color w:val="2D3748"/>
          <w:sz w:val="19"/>
        </w:rPr>
        <w:t>School of Software Engineering</w:t>
        <w:br/>
      </w:r>
      <w:r>
        <w:rPr>
          <w:rFonts w:ascii="Calibri" w:hAnsi="Calibri"/>
          <w:b/>
          <w:color w:val="2D3748"/>
          <w:sz w:val="19"/>
        </w:rPr>
        <w:t xml:space="preserve">Team Members: </w:t>
      </w:r>
      <w:r>
        <w:rPr>
          <w:rFonts w:ascii="Calibri" w:hAnsi="Calibri"/>
          <w:b w:val="0"/>
          <w:color w:val="2D3748"/>
          <w:sz w:val="19"/>
        </w:rPr>
        <w:t xml:space="preserve">Nurdan Zhanabayev (SE-2402), Yerasyl Gaziz (SE-2411)  |  </w:t>
      </w:r>
      <w:r>
        <w:rPr>
          <w:rFonts w:ascii="Calibri" w:hAnsi="Calibri"/>
          <w:b/>
          <w:color w:val="2D3748"/>
          <w:sz w:val="19"/>
        </w:rPr>
        <w:t xml:space="preserve">Supervisor: </w:t>
      </w:r>
      <w:r>
        <w:rPr>
          <w:rFonts w:ascii="Calibri" w:hAnsi="Calibri"/>
          <w:b w:val="0"/>
          <w:color w:val="2D3748"/>
          <w:sz w:val="19"/>
        </w:rPr>
        <w:t>Nurtas K. Nadirov</w:t>
      </w:r>
    </w:p>
    <w:p>
      <w:pPr>
        <w:keepNext/>
        <w:spacing w:before="320" w:after="120"/>
      </w:pPr>
      <w:r>
        <w:rPr>
          <w:rFonts w:ascii="Calibri" w:hAnsi="Calibri"/>
          <w:b/>
          <w:color w:val="1A365D"/>
          <w:sz w:val="30"/>
        </w:rPr>
        <w:t>1. Project Proposal</w:t>
      </w:r>
    </w:p>
    <w:p>
      <w:pPr>
        <w:keepNext/>
        <w:spacing w:before="240" w:after="80"/>
      </w:pPr>
      <w:r>
        <w:rPr>
          <w:rFonts w:ascii="Calibri" w:hAnsi="Calibri"/>
          <w:b/>
          <w:color w:val="3182CE"/>
          <w:sz w:val="24"/>
        </w:rPr>
        <w:t>Problem Statement</w:t>
      </w:r>
    </w:p>
    <w:p>
      <w:pPr>
        <w:spacing w:after="80" w:line="276" w:lineRule="auto"/>
      </w:pPr>
      <w:r>
        <w:rPr>
          <w:rFonts w:ascii="Calibri" w:hAnsi="Calibri"/>
          <w:color w:val="2D3748"/>
          <w:sz w:val="20"/>
        </w:rPr>
        <w:t>In higher education institutions with intensive degree curricula—such as the 3-year bachelor's degree program at Astana IT University—the process of selecting capstone diploma project topics and assembling student teams is compressed into tight academic deadlines. Currently, this workflow remains predominantly manual, fragmented, and inefficient. Students frequently choose topics based on incomplete information or informal social discussions, leading to significant mismatches between real technical competencies and project scope. Furthermore, team formation often relies on existing friendships rather than complementary skill distribution, resulting in severe technical imbalances—such as groups lacking a backend engineer, frontend developer, or data specialist.</w:t>
      </w:r>
    </w:p>
    <w:p>
      <w:pPr>
        <w:spacing w:after="160" w:line="276" w:lineRule="auto"/>
      </w:pPr>
      <w:r>
        <w:rPr>
          <w:rFonts w:ascii="Calibri" w:hAnsi="Calibri"/>
          <w:color w:val="2D3748"/>
          <w:sz w:val="20"/>
        </w:rPr>
        <w:t>For academic supervisors and department administrators, this disjointed workflow causes severe administrative bottlenecks. High-demand advisors face disproportionate application volumes, topic proposals frequently duplicate across cohorts, and committee members spend extensive time manually resolving registration conflicts, capacity quotas, and team reallocations. Existing university systems lack automated, transparent, multi-criteria recommendation mechanisms that concurrently balance student competencies, project preferences, and institutional constraints.</w:t>
      </w:r>
    </w:p>
    <w:p>
      <w:pPr>
        <w:keepNext/>
        <w:spacing w:before="240" w:after="80"/>
      </w:pPr>
      <w:r>
        <w:rPr>
          <w:rFonts w:ascii="Calibri" w:hAnsi="Calibri"/>
          <w:b/>
          <w:color w:val="3182CE"/>
          <w:sz w:val="24"/>
        </w:rPr>
        <w:t>Target Users</w:t>
      </w:r>
    </w:p>
    <w:p>
      <w:pPr>
        <w:pStyle w:val="ListBullet"/>
        <w:spacing w:after="60" w:line="276" w:lineRule="auto"/>
      </w:pPr>
      <w:r>
        <w:rPr>
          <w:rFonts w:ascii="Calibri" w:hAnsi="Calibri"/>
          <w:b/>
          <w:color w:val="2D3748"/>
          <w:sz w:val="20"/>
        </w:rPr>
        <w:t xml:space="preserve">Students: </w:t>
      </w:r>
      <w:r>
        <w:rPr>
          <w:rFonts w:ascii="Calibri" w:hAnsi="Calibri"/>
          <w:color w:val="2D3748"/>
          <w:sz w:val="20"/>
        </w:rPr>
        <w:t>Undergraduate students (primarily 3rd-year graduating cohorts and 2nd-year cohorts planning capstone work) seeking curated topics matching their career trajectories and compatible peers with complementary technical skills.</w:t>
      </w:r>
    </w:p>
    <w:p>
      <w:pPr>
        <w:pStyle w:val="ListBullet"/>
        <w:spacing w:after="60" w:line="276" w:lineRule="auto"/>
      </w:pPr>
      <w:r>
        <w:rPr>
          <w:rFonts w:ascii="Calibri" w:hAnsi="Calibri"/>
          <w:b/>
          <w:color w:val="2D3748"/>
          <w:sz w:val="20"/>
        </w:rPr>
        <w:t xml:space="preserve">Thesis Supervisors (Academic Staff): </w:t>
      </w:r>
      <w:r>
        <w:rPr>
          <w:rFonts w:ascii="Calibri" w:hAnsi="Calibri"/>
          <w:color w:val="2D3748"/>
          <w:sz w:val="20"/>
        </w:rPr>
        <w:t>Faculty members who propose thesis topics, define mandatory prerequisite skill tags, set team size limits, and review/approve applicant teams.</w:t>
      </w:r>
    </w:p>
    <w:p>
      <w:pPr>
        <w:pStyle w:val="ListBullet"/>
        <w:spacing w:after="60" w:line="276" w:lineRule="auto"/>
      </w:pPr>
      <w:r>
        <w:rPr>
          <w:rFonts w:ascii="Calibri" w:hAnsi="Calibri"/>
          <w:b/>
          <w:color w:val="2D3748"/>
          <w:sz w:val="20"/>
        </w:rPr>
        <w:t xml:space="preserve">Department Administration (Dean's Office): </w:t>
      </w:r>
      <w:r>
        <w:rPr>
          <w:rFonts w:ascii="Calibri" w:hAnsi="Calibri"/>
          <w:color w:val="2D3748"/>
          <w:sz w:val="20"/>
        </w:rPr>
        <w:t>Academic committee coordinators who oversee university-wide quota distributions, prevent topic duplication, balance supervisor workloads, and monitor project milestones.</w:t>
      </w:r>
    </w:p>
    <w:p>
      <w:pPr>
        <w:keepNext/>
        <w:spacing w:before="240" w:after="80"/>
      </w:pPr>
      <w:r>
        <w:rPr>
          <w:rFonts w:ascii="Calibri" w:hAnsi="Calibri"/>
          <w:b/>
          <w:color w:val="3182CE"/>
          <w:sz w:val="24"/>
        </w:rPr>
        <w:t>Aim &amp; Objectives</w:t>
      </w:r>
    </w:p>
    <w:p>
      <w:pPr>
        <w:spacing w:after="80" w:line="276" w:lineRule="auto"/>
      </w:pPr>
      <w:r>
        <w:rPr>
          <w:rFonts w:ascii="Calibri" w:hAnsi="Calibri"/>
          <w:b/>
          <w:color w:val="2D3748"/>
          <w:sz w:val="20"/>
        </w:rPr>
        <w:t xml:space="preserve">Aim: </w:t>
      </w:r>
      <w:r>
        <w:rPr>
          <w:rFonts w:ascii="Calibri" w:hAnsi="Calibri"/>
          <w:color w:val="2D3748"/>
          <w:sz w:val="20"/>
        </w:rPr>
        <w:t>To design, implement, and evaluate an intelligent web platform that centralizes diploma project topic selection and automates balanced student team formation through a multi-criteria matching algorithm.</w:t>
      </w:r>
    </w:p>
    <w:p>
      <w:pPr>
        <w:spacing w:after="80" w:line="276" w:lineRule="auto"/>
      </w:pPr>
      <w:r>
        <w:rPr>
          <w:rFonts w:ascii="Calibri" w:hAnsi="Calibri"/>
          <w:color w:val="2D3748"/>
          <w:sz w:val="20"/>
        </w:rPr>
        <w:t>The project encompasses the following specific engineering objectives:</w:t>
      </w:r>
    </w:p>
    <w:p>
      <w:pPr>
        <w:pStyle w:val="ListBullet"/>
        <w:spacing w:after="60" w:line="276" w:lineRule="auto"/>
      </w:pPr>
      <w:r>
        <w:rPr>
          <w:rFonts w:ascii="Calibri" w:hAnsi="Calibri"/>
          <w:b/>
          <w:color w:val="2D3748"/>
          <w:sz w:val="20"/>
        </w:rPr>
        <w:t xml:space="preserve">1. Requirements &amp; Domain Analysis: </w:t>
      </w:r>
      <w:r>
        <w:rPr>
          <w:rFonts w:ascii="Calibri" w:hAnsi="Calibri"/>
          <w:color w:val="2D3748"/>
          <w:sz w:val="20"/>
        </w:rPr>
        <w:t>Investigate existing academic allocation workflows, conduct stakeholder surveys, and benchmark relevant platforms to establish verifiable system requirements.</w:t>
      </w:r>
    </w:p>
    <w:p>
      <w:pPr>
        <w:pStyle w:val="ListBullet"/>
        <w:spacing w:after="60" w:line="276" w:lineRule="auto"/>
      </w:pPr>
      <w:r>
        <w:rPr>
          <w:rFonts w:ascii="Calibri" w:hAnsi="Calibri"/>
          <w:b/>
          <w:color w:val="2D3748"/>
          <w:sz w:val="20"/>
        </w:rPr>
        <w:t xml:space="preserve">2. System Architecture &amp; Database Design: </w:t>
      </w:r>
      <w:r>
        <w:rPr>
          <w:rFonts w:ascii="Calibri" w:hAnsi="Calibri"/>
          <w:color w:val="2D3748"/>
          <w:sz w:val="20"/>
        </w:rPr>
        <w:t>Design a modular web architecture featuring role-based access control (RBAC), relational database schemas, and clean RESTful API contracts.</w:t>
      </w:r>
    </w:p>
    <w:p>
      <w:pPr>
        <w:pStyle w:val="ListBullet"/>
        <w:spacing w:after="60" w:line="276" w:lineRule="auto"/>
      </w:pPr>
      <w:r>
        <w:rPr>
          <w:rFonts w:ascii="Calibri" w:hAnsi="Calibri"/>
          <w:b/>
          <w:color w:val="2D3748"/>
          <w:sz w:val="20"/>
        </w:rPr>
        <w:t xml:space="preserve">3. Multi-Criteria Matching Algorithm: </w:t>
      </w:r>
      <w:r>
        <w:rPr>
          <w:rFonts w:ascii="Calibri" w:hAnsi="Calibri"/>
          <w:color w:val="2D3748"/>
          <w:sz w:val="20"/>
        </w:rPr>
        <w:t>Formulate a multi-criteria matching engine that balances technical competencies, project track interests, preferred technical roles, and supervisor capacity limits.</w:t>
      </w:r>
    </w:p>
    <w:p>
      <w:pPr>
        <w:pStyle w:val="ListBullet"/>
        <w:spacing w:after="60" w:line="276" w:lineRule="auto"/>
      </w:pPr>
      <w:r>
        <w:rPr>
          <w:rFonts w:ascii="Calibri" w:hAnsi="Calibri"/>
          <w:b/>
          <w:color w:val="2D3748"/>
          <w:sz w:val="20"/>
        </w:rPr>
        <w:t xml:space="preserve">4. Platform Implementation: </w:t>
      </w:r>
      <w:r>
        <w:rPr>
          <w:rFonts w:ascii="Calibri" w:hAnsi="Calibri"/>
          <w:color w:val="2D3748"/>
          <w:sz w:val="20"/>
        </w:rPr>
        <w:t>Implement responsive frontend dashboards and scalable backend endpoints handling profile management, topic discovery, and invitation workflows.</w:t>
      </w:r>
    </w:p>
    <w:p>
      <w:pPr>
        <w:pStyle w:val="ListBullet"/>
        <w:spacing w:after="60" w:line="276" w:lineRule="auto"/>
      </w:pPr>
      <w:r>
        <w:rPr>
          <w:rFonts w:ascii="Calibri" w:hAnsi="Calibri"/>
          <w:b/>
          <w:color w:val="2D3748"/>
          <w:sz w:val="20"/>
        </w:rPr>
        <w:t xml:space="preserve">5. Testing &amp; Usability Evaluation: </w:t>
      </w:r>
      <w:r>
        <w:rPr>
          <w:rFonts w:ascii="Calibri" w:hAnsi="Calibri"/>
          <w:color w:val="2D3748"/>
          <w:sz w:val="20"/>
        </w:rPr>
        <w:t>Verify system stability, endpoint security, and algorithmic performance compared to baseline manual assignment methods.</w:t>
      </w:r>
    </w:p>
    <w:p>
      <w:pPr>
        <w:keepNext/>
        <w:spacing w:before="240" w:after="80"/>
      </w:pPr>
      <w:r>
        <w:rPr>
          <w:rFonts w:ascii="Calibri" w:hAnsi="Calibri"/>
          <w:b/>
          <w:color w:val="3182CE"/>
          <w:sz w:val="24"/>
        </w:rPr>
        <w:t>Project Scope</w:t>
      </w:r>
    </w:p>
    <w:p>
      <w:pPr>
        <w:spacing w:after="80" w:line="276" w:lineRule="auto"/>
      </w:pPr>
      <w:r>
        <w:rPr>
          <w:rFonts w:ascii="Calibri" w:hAnsi="Calibri"/>
          <w:color w:val="2D3748"/>
          <w:sz w:val="20"/>
        </w:rPr>
        <w:t>The project scope is explicitly defined as follows:</w:t>
      </w:r>
    </w:p>
    <w:p>
      <w:pPr>
        <w:pStyle w:val="ListBullet"/>
        <w:spacing w:after="60" w:line="276" w:lineRule="auto"/>
      </w:pPr>
      <w:r>
        <w:rPr>
          <w:rFonts w:ascii="Calibri" w:hAnsi="Calibri"/>
          <w:b/>
          <w:color w:val="2D3748"/>
          <w:sz w:val="20"/>
        </w:rPr>
        <w:t xml:space="preserve">In-Scope: </w:t>
      </w:r>
      <w:r>
        <w:rPr>
          <w:rFonts w:ascii="Calibri" w:hAnsi="Calibri"/>
          <w:color w:val="2D3748"/>
          <w:sz w:val="20"/>
        </w:rPr>
        <w:t>User management with Role-Based Access Control (RBAC) for Students, Supervisors, and Department Admins.</w:t>
      </w:r>
    </w:p>
    <w:p>
      <w:pPr>
        <w:pStyle w:val="ListBullet"/>
        <w:spacing w:after="60" w:line="276" w:lineRule="auto"/>
      </w:pPr>
      <w:r>
        <w:rPr>
          <w:rFonts w:ascii="Calibri" w:hAnsi="Calibri"/>
          <w:b/>
          <w:color w:val="2D3748"/>
          <w:sz w:val="20"/>
        </w:rPr>
        <w:t xml:space="preserve">In-Scope: </w:t>
      </w:r>
      <w:r>
        <w:rPr>
          <w:rFonts w:ascii="Calibri" w:hAnsi="Calibri"/>
          <w:color w:val="2D3748"/>
          <w:sz w:val="20"/>
        </w:rPr>
        <w:t>Student profile building with verified technical competencies, role declarations, and research interests.</w:t>
      </w:r>
    </w:p>
    <w:p>
      <w:pPr>
        <w:pStyle w:val="ListBullet"/>
        <w:spacing w:after="60" w:line="276" w:lineRule="auto"/>
      </w:pPr>
      <w:r>
        <w:rPr>
          <w:rFonts w:ascii="Calibri" w:hAnsi="Calibri"/>
          <w:b/>
          <w:color w:val="2D3748"/>
          <w:sz w:val="20"/>
        </w:rPr>
        <w:t xml:space="preserve">In-Scope: </w:t>
      </w:r>
      <w:r>
        <w:rPr>
          <w:rFonts w:ascii="Calibri" w:hAnsi="Calibri"/>
          <w:color w:val="2D3748"/>
          <w:sz w:val="20"/>
        </w:rPr>
        <w:t>Topic catalog management with prerequisite tags, capacity limits, and supervisor quota monitoring.</w:t>
      </w:r>
    </w:p>
    <w:p>
      <w:pPr>
        <w:pStyle w:val="ListBullet"/>
        <w:spacing w:after="60" w:line="276" w:lineRule="auto"/>
      </w:pPr>
      <w:r>
        <w:rPr>
          <w:rFonts w:ascii="Calibri" w:hAnsi="Calibri"/>
          <w:b/>
          <w:color w:val="2D3748"/>
          <w:sz w:val="20"/>
        </w:rPr>
        <w:t xml:space="preserve">In-Scope: </w:t>
      </w:r>
      <w:r>
        <w:rPr>
          <w:rFonts w:ascii="Calibri" w:hAnsi="Calibri"/>
          <w:color w:val="2D3748"/>
          <w:sz w:val="20"/>
        </w:rPr>
        <w:t>Multi-criteria algorithmic recommendation for topics and complementary teammate grouping.</w:t>
      </w:r>
    </w:p>
    <w:p>
      <w:pPr>
        <w:pStyle w:val="ListBullet"/>
        <w:spacing w:after="60" w:line="276" w:lineRule="auto"/>
      </w:pPr>
      <w:r>
        <w:rPr>
          <w:rFonts w:ascii="Calibri" w:hAnsi="Calibri"/>
          <w:b/>
          <w:color w:val="2D3748"/>
          <w:sz w:val="20"/>
        </w:rPr>
        <w:t xml:space="preserve">In-Scope: </w:t>
      </w:r>
      <w:r>
        <w:rPr>
          <w:rFonts w:ascii="Calibri" w:hAnsi="Calibri"/>
          <w:color w:val="2D3748"/>
          <w:sz w:val="20"/>
        </w:rPr>
        <w:t>Team application and approval workflows between student cohorts and supervisors.</w:t>
      </w:r>
    </w:p>
    <w:p>
      <w:pPr>
        <w:pStyle w:val="ListBullet"/>
        <w:spacing w:after="60" w:line="276" w:lineRule="auto"/>
      </w:pPr>
      <w:r>
        <w:rPr>
          <w:rFonts w:ascii="Calibri" w:hAnsi="Calibri"/>
          <w:b/>
          <w:color w:val="2D3748"/>
          <w:sz w:val="20"/>
        </w:rPr>
        <w:t xml:space="preserve">Out-of-Scope: </w:t>
      </w:r>
      <w:r>
        <w:rPr>
          <w:rFonts w:ascii="Calibri" w:hAnsi="Calibri"/>
          <w:color w:val="2D3748"/>
          <w:sz w:val="20"/>
        </w:rPr>
        <w:t>Native mobile applications (the platform is engineered as a responsive web app for desktop and mobile).</w:t>
      </w:r>
    </w:p>
    <w:p>
      <w:pPr>
        <w:pStyle w:val="ListBullet"/>
        <w:spacing w:after="60" w:line="276" w:lineRule="auto"/>
      </w:pPr>
      <w:r>
        <w:rPr>
          <w:rFonts w:ascii="Calibri" w:hAnsi="Calibri"/>
          <w:b/>
          <w:color w:val="2D3748"/>
          <w:sz w:val="20"/>
        </w:rPr>
        <w:t xml:space="preserve">Out-of-Scope: </w:t>
      </w:r>
      <w:r>
        <w:rPr>
          <w:rFonts w:ascii="Calibri" w:hAnsi="Calibri"/>
          <w:color w:val="2D3748"/>
          <w:sz w:val="20"/>
        </w:rPr>
        <w:t>In-platform code sandboxes or automated plagiarism scanning of full thesis manuscripts.</w:t>
      </w:r>
    </w:p>
    <w:p>
      <w:pPr>
        <w:pStyle w:val="ListBullet"/>
        <w:spacing w:after="60" w:line="276" w:lineRule="auto"/>
      </w:pPr>
      <w:r>
        <w:rPr>
          <w:rFonts w:ascii="Calibri" w:hAnsi="Calibri"/>
          <w:b/>
          <w:color w:val="2D3748"/>
          <w:sz w:val="20"/>
        </w:rPr>
        <w:t xml:space="preserve">Out-of-Scope: </w:t>
      </w:r>
      <w:r>
        <w:rPr>
          <w:rFonts w:ascii="Calibri" w:hAnsi="Calibri"/>
          <w:color w:val="2D3748"/>
          <w:sz w:val="20"/>
        </w:rPr>
        <w:t>Payment processing or sponsorship disbursement integrations.</w:t>
      </w:r>
    </w:p>
    <w:p>
      <w:pPr>
        <w:keepNext/>
        <w:spacing w:before="320" w:after="120"/>
      </w:pPr>
      <w:r>
        <w:rPr>
          <w:rFonts w:ascii="Calibri" w:hAnsi="Calibri"/>
          <w:b/>
          <w:color w:val="1A365D"/>
          <w:sz w:val="30"/>
        </w:rPr>
        <w:t>2. Evidence of Relevance &amp; User Survey Design</w:t>
      </w:r>
    </w:p>
    <w:p>
      <w:pPr>
        <w:spacing w:after="120" w:line="276" w:lineRule="auto"/>
      </w:pPr>
      <w:r>
        <w:rPr>
          <w:rFonts w:ascii="Calibri" w:hAnsi="Calibri"/>
          <w:color w:val="2D3748"/>
          <w:sz w:val="20"/>
        </w:rPr>
        <w:t>At Astana IT University, undergraduate programs operate under a concentrated 3-year accelerated bachelor's cycle. As a result, the 3rd year represents the direct capstone graduation period. Inefficient team composition and misaligned topic selection severely degrade deliverable quality, heighten student stress, and overburden faculty advisors within this accelerated timeline. Academic literature demonstrates that algorithmic team formation significantly optimizes skill diversity and project outcomes compared to unstructured self-selection (Agarwal et al., 2022; Hastings et al., 2023).</w:t>
      </w:r>
    </w:p>
    <w:p>
      <w:pPr>
        <w:spacing w:after="160" w:line="276" w:lineRule="auto"/>
      </w:pPr>
      <w:r>
        <w:rPr>
          <w:rFonts w:ascii="Calibri" w:hAnsi="Calibri"/>
          <w:color w:val="2D3748"/>
          <w:sz w:val="20"/>
        </w:rPr>
        <w:t>To establish verifiable local requirements, a structured 10-question survey instrument has been tailored for distribution among AITU software engineering students and faculty. Quantitative findings will be reported after active data collection.</w:t>
      </w:r>
    </w:p>
    <w:p>
      <w:pPr>
        <w:keepNext/>
        <w:spacing w:before="240" w:after="80"/>
      </w:pPr>
      <w:r>
        <w:rPr>
          <w:rFonts w:ascii="Calibri" w:hAnsi="Calibri"/>
          <w:b/>
          <w:color w:val="3182CE"/>
          <w:sz w:val="24"/>
        </w:rPr>
        <w:t>Survey Instrument Structure</w:t>
      </w:r>
    </w:p>
    <w:p>
      <w:pPr>
        <w:pStyle w:val="ListBullet"/>
        <w:spacing w:after="60" w:line="276" w:lineRule="auto"/>
      </w:pPr>
      <w:r>
        <w:rPr>
          <w:rFonts w:ascii="Calibri" w:hAnsi="Calibri"/>
          <w:b/>
          <w:color w:val="2D3748"/>
          <w:sz w:val="20"/>
        </w:rPr>
        <w:t xml:space="preserve">Q1 (Target Cohort): </w:t>
      </w:r>
      <w:r>
        <w:rPr>
          <w:rFonts w:ascii="Calibri" w:hAnsi="Calibri"/>
          <w:color w:val="2D3748"/>
          <w:sz w:val="20"/>
        </w:rPr>
        <w:t>What is your current academic status at AITU? (2nd-Year Student / 3rd-Year Graduating Student / Thesis Supervisor / Department Admin).</w:t>
      </w:r>
    </w:p>
    <w:p>
      <w:pPr>
        <w:pStyle w:val="ListBullet"/>
        <w:spacing w:after="60" w:line="276" w:lineRule="auto"/>
      </w:pPr>
      <w:r>
        <w:rPr>
          <w:rFonts w:ascii="Calibri" w:hAnsi="Calibri"/>
          <w:b/>
          <w:color w:val="2D3748"/>
          <w:sz w:val="20"/>
        </w:rPr>
        <w:t xml:space="preserve">Q2 (Topic Selection): </w:t>
      </w:r>
      <w:r>
        <w:rPr>
          <w:rFonts w:ascii="Calibri" w:hAnsi="Calibri"/>
          <w:color w:val="2D3748"/>
          <w:sz w:val="20"/>
        </w:rPr>
        <w:t>How did you (or your students) select a diploma topic? (Pre-arranged with advisor / Static catalog list / Self-formulated / Random assignment).</w:t>
      </w:r>
    </w:p>
    <w:p>
      <w:pPr>
        <w:pStyle w:val="ListBullet"/>
        <w:spacing w:after="60" w:line="276" w:lineRule="auto"/>
      </w:pPr>
      <w:r>
        <w:rPr>
          <w:rFonts w:ascii="Calibri" w:hAnsi="Calibri"/>
          <w:b/>
          <w:color w:val="2D3748"/>
          <w:sz w:val="20"/>
        </w:rPr>
        <w:t xml:space="preserve">Q3 (Team Formation): </w:t>
      </w:r>
      <w:r>
        <w:rPr>
          <w:rFonts w:ascii="Calibri" w:hAnsi="Calibri"/>
          <w:color w:val="2D3748"/>
          <w:sz w:val="20"/>
        </w:rPr>
        <w:t>How was your capstone team assembled? (Existing friends / Department assignment / Chat discovery / Formed around a shared topic).</w:t>
      </w:r>
    </w:p>
    <w:p>
      <w:pPr>
        <w:pStyle w:val="ListBullet"/>
        <w:spacing w:after="60" w:line="276" w:lineRule="auto"/>
      </w:pPr>
      <w:r>
        <w:rPr>
          <w:rFonts w:ascii="Calibri" w:hAnsi="Calibri"/>
          <w:b/>
          <w:color w:val="2D3748"/>
          <w:sz w:val="20"/>
        </w:rPr>
        <w:t xml:space="preserve">Q4 (Skill Imbalance): </w:t>
      </w:r>
      <w:r>
        <w:rPr>
          <w:rFonts w:ascii="Calibri" w:hAnsi="Calibri"/>
          <w:color w:val="2D3748"/>
          <w:sz w:val="20"/>
        </w:rPr>
        <w:t>Have you experienced technical deficits in your project group (e.g., missing backend or UI capability)? (1 = Never, 5 = Frequently).</w:t>
      </w:r>
    </w:p>
    <w:p>
      <w:pPr>
        <w:pStyle w:val="ListBullet"/>
        <w:spacing w:after="60" w:line="276" w:lineRule="auto"/>
      </w:pPr>
      <w:r>
        <w:rPr>
          <w:rFonts w:ascii="Calibri" w:hAnsi="Calibri"/>
          <w:b/>
          <w:color w:val="2D3748"/>
          <w:sz w:val="20"/>
        </w:rPr>
        <w:t xml:space="preserve">Q5 (Administrative Friction): </w:t>
      </w:r>
      <w:r>
        <w:rPr>
          <w:rFonts w:ascii="Calibri" w:hAnsi="Calibri"/>
          <w:color w:val="2D3748"/>
          <w:sz w:val="20"/>
        </w:rPr>
        <w:t>What is the primary bottleneck in topic approval? (Spreadsheet confusion / Topic ambiguity / Slow email responses / Supervisor overload).</w:t>
      </w:r>
    </w:p>
    <w:p>
      <w:pPr>
        <w:pStyle w:val="ListBullet"/>
        <w:spacing w:after="60" w:line="276" w:lineRule="auto"/>
      </w:pPr>
      <w:r>
        <w:rPr>
          <w:rFonts w:ascii="Calibri" w:hAnsi="Calibri"/>
          <w:b/>
          <w:color w:val="2D3748"/>
          <w:sz w:val="20"/>
        </w:rPr>
        <w:t xml:space="preserve">Q6 (Topic Evaluation Criteria): </w:t>
      </w:r>
      <w:r>
        <w:rPr>
          <w:rFonts w:ascii="Calibri" w:hAnsi="Calibri"/>
          <w:color w:val="2D3748"/>
          <w:sz w:val="20"/>
        </w:rPr>
        <w:t>Rank the importance of: Technical Stack Relevance, Supervisor Availability, Industry Practicality, Academic Rigor.</w:t>
      </w:r>
    </w:p>
    <w:p>
      <w:pPr>
        <w:pStyle w:val="ListBullet"/>
        <w:spacing w:after="60" w:line="276" w:lineRule="auto"/>
      </w:pPr>
      <w:r>
        <w:rPr>
          <w:rFonts w:ascii="Calibri" w:hAnsi="Calibri"/>
          <w:b/>
          <w:color w:val="2D3748"/>
          <w:sz w:val="20"/>
        </w:rPr>
        <w:t xml:space="preserve">Q7 (Teammate Criteria): </w:t>
      </w:r>
      <w:r>
        <w:rPr>
          <w:rFonts w:ascii="Calibri" w:hAnsi="Calibri"/>
          <w:color w:val="2D3748"/>
          <w:sz w:val="20"/>
        </w:rPr>
        <w:t>Rank the importance of: Complementary Skills, Prior Social Connection, Equal Work Ethic, Schedule Alignment.</w:t>
      </w:r>
    </w:p>
    <w:p>
      <w:pPr>
        <w:pStyle w:val="ListBullet"/>
        <w:spacing w:after="60" w:line="276" w:lineRule="auto"/>
      </w:pPr>
      <w:r>
        <w:rPr>
          <w:rFonts w:ascii="Calibri" w:hAnsi="Calibri"/>
          <w:b/>
          <w:color w:val="2D3748"/>
          <w:sz w:val="20"/>
        </w:rPr>
        <w:t xml:space="preserve">Q8 (Automated Grouping): </w:t>
      </w:r>
      <w:r>
        <w:rPr>
          <w:rFonts w:ascii="Calibri" w:hAnsi="Calibri"/>
          <w:color w:val="2D3748"/>
          <w:sz w:val="20"/>
        </w:rPr>
        <w:t>Should the system provide automated team matching for solo registrants? (Yes / No / Suggestions requiring opt-in confirmation).</w:t>
      </w:r>
    </w:p>
    <w:p>
      <w:pPr>
        <w:pStyle w:val="ListBullet"/>
        <w:spacing w:after="60" w:line="276" w:lineRule="auto"/>
      </w:pPr>
      <w:r>
        <w:rPr>
          <w:rFonts w:ascii="Calibri" w:hAnsi="Calibri"/>
          <w:b/>
          <w:color w:val="2D3748"/>
          <w:sz w:val="20"/>
        </w:rPr>
        <w:t xml:space="preserve">Q9 (Feature Priority): </w:t>
      </w:r>
      <w:r>
        <w:rPr>
          <w:rFonts w:ascii="Calibri" w:hAnsi="Calibri"/>
          <w:color w:val="2D3748"/>
          <w:sz w:val="20"/>
        </w:rPr>
        <w:t>Which feature is most critical? (Automated topic matching / Skill-based teammate search / Supervisor quota tracking / Workflow milestones).</w:t>
      </w:r>
    </w:p>
    <w:p>
      <w:pPr>
        <w:pStyle w:val="ListBullet"/>
        <w:spacing w:after="60" w:line="276" w:lineRule="auto"/>
      </w:pPr>
      <w:r>
        <w:rPr>
          <w:rFonts w:ascii="Calibri" w:hAnsi="Calibri"/>
          <w:b/>
          <w:color w:val="2D3748"/>
          <w:sz w:val="20"/>
        </w:rPr>
        <w:t xml:space="preserve">Q10 (Algorithmic Transparency): </w:t>
      </w:r>
      <w:r>
        <w:rPr>
          <w:rFonts w:ascii="Calibri" w:hAnsi="Calibri"/>
          <w:color w:val="2D3748"/>
          <w:sz w:val="20"/>
        </w:rPr>
        <w:t>How important is seeing explainable criteria for why a topic or peer was recommended? (1 = Not important, 5 = Essential).</w:t>
      </w:r>
    </w:p>
    <w:p>
      <w:pPr>
        <w:keepNext/>
        <w:spacing w:before="320" w:after="120"/>
      </w:pPr>
      <w:r>
        <w:rPr>
          <w:rFonts w:ascii="Calibri" w:hAnsi="Calibri"/>
          <w:b/>
          <w:color w:val="1A365D"/>
          <w:sz w:val="30"/>
        </w:rPr>
        <w:t>3. Literature Review</w:t>
      </w:r>
    </w:p>
    <w:p>
      <w:pPr>
        <w:spacing w:after="80" w:line="276" w:lineRule="auto"/>
      </w:pPr>
      <w:r>
        <w:rPr>
          <w:rFonts w:ascii="Calibri" w:hAnsi="Calibri"/>
          <w:color w:val="2D3748"/>
          <w:sz w:val="20"/>
        </w:rPr>
        <w:t>The academic literature surrounding topic assignment and team composition spans multi-objective optimization, collaborative educational technologies, and recommender systems. Hastings et al. (2023) analyzed how academic supervisors configure algorithmic grouping, underscoring that instructors require visible controls and explainable criteria rather than 'black-box' allocations. Forshaw et al. (2026) studied fairness in student grouping, highlighting the trade-offs between maximizing collective competence and preventing isolated low-performing cohorts. Agarwal et al. (2022) explored Vector Evaluated Genetic Algorithms across over 1,300 engineering students, proving that automated skill balancing yields superior multi-disciplinary project quality over self-selection.</w:t>
      </w:r>
    </w:p>
    <w:p>
      <w:pPr>
        <w:spacing w:after="80" w:line="276" w:lineRule="auto"/>
      </w:pPr>
      <w:r>
        <w:rPr>
          <w:rFonts w:ascii="Calibri" w:hAnsi="Calibri"/>
          <w:color w:val="2D3748"/>
          <w:sz w:val="20"/>
        </w:rPr>
        <w:t>Singh et al. (2025) utilized multi-criteria integer programming to formalize explicit role constraints, demonstrating how to prevent duplicate competencies within small engineering teams. Wu et al. (2026) examined social friction within algorithmically assembled groups, indicating that matching must account for baseline interest alignment alongside technical capabilities. Vinella et al. (2022) compared top-down and worker-centered team formation models, concluding that participant agency and opt-in choice are vital for engagement. Gómez-Zará et al. (2019) analyzed online collaborator discovery platforms, emphasizing that visibility into peer skills helps students bridge social silos. Furthermore, Jadhav et al. (2026) introduced ResearchConnect, validating that semantic profile clustering and vector-space scoring function reliably for academic and research teams.</w:t>
      </w:r>
    </w:p>
    <w:p>
      <w:pPr>
        <w:spacing w:after="160" w:line="276" w:lineRule="auto"/>
      </w:pPr>
      <w:r>
        <w:rPr>
          <w:rFonts w:ascii="Calibri" w:hAnsi="Calibri"/>
          <w:color w:val="2D3748"/>
          <w:sz w:val="20"/>
        </w:rPr>
        <w:t>Research Gap: Existing studies either focus purely on short-term classroom exercise grouping (e.g., CATME) or generalized collaborator discovery. They do not provide an integrated, end-to-end workflow tailored to university diploma projects, where topic catalog proposals, supervisor capacity quotas, and multi-disciplinary student team formation must operate concurrently under strict institutional deadlines.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00" w:type="dxa"/>
              <w:bottom w:w="100" w:type="dxa"/>
              <w:left w:w="120" w:type="dxa"/>
              <w:right w:w="120" w:type="dxa"/>
            </w:tcMar>
          </w:tcPr>
          <w:p>
            <w:r>
              <w:rPr>
                <w:rFonts w:ascii="Calibri" w:hAnsi="Calibri"/>
                <w:b/>
                <w:color w:val="FFFFFF"/>
                <w:sz w:val="18"/>
              </w:rPr>
              <w:t>Author &amp; Year</w:t>
            </w:r>
          </w:p>
        </w:tc>
        <w:tc>
          <w:tcPr>
            <w:tcW w:type="dxa" w:w="2304"/>
            <w:shd w:fill="1A365D"/>
            <w:tcMar>
              <w:top w:w="100" w:type="dxa"/>
              <w:bottom w:w="100" w:type="dxa"/>
              <w:left w:w="120" w:type="dxa"/>
              <w:right w:w="120" w:type="dxa"/>
            </w:tcMar>
          </w:tcPr>
          <w:p>
            <w:r>
              <w:rPr>
                <w:rFonts w:ascii="Calibri" w:hAnsi="Calibri"/>
                <w:b/>
                <w:color w:val="FFFFFF"/>
                <w:sz w:val="18"/>
              </w:rPr>
              <w:t>Topic / Focus</w:t>
            </w:r>
          </w:p>
        </w:tc>
        <w:tc>
          <w:tcPr>
            <w:tcW w:type="dxa" w:w="2304"/>
            <w:shd w:fill="1A365D"/>
            <w:tcMar>
              <w:top w:w="100" w:type="dxa"/>
              <w:bottom w:w="100" w:type="dxa"/>
              <w:left w:w="120" w:type="dxa"/>
              <w:right w:w="120" w:type="dxa"/>
            </w:tcMar>
          </w:tcPr>
          <w:p>
            <w:r>
              <w:rPr>
                <w:rFonts w:ascii="Calibri" w:hAnsi="Calibri"/>
                <w:b/>
                <w:color w:val="FFFFFF"/>
                <w:sz w:val="18"/>
              </w:rPr>
              <w:t>Methodology</w:t>
            </w:r>
          </w:p>
        </w:tc>
        <w:tc>
          <w:tcPr>
            <w:tcW w:type="dxa" w:w="2592"/>
            <w:shd w:fill="1A365D"/>
            <w:tcMar>
              <w:top w:w="100" w:type="dxa"/>
              <w:bottom w:w="100" w:type="dxa"/>
              <w:left w:w="120" w:type="dxa"/>
              <w:right w:w="120" w:type="dxa"/>
            </w:tcMar>
          </w:tcPr>
          <w:p>
            <w:r>
              <w:rPr>
                <w:rFonts w:ascii="Calibri" w:hAnsi="Calibri"/>
                <w:b/>
                <w:color w:val="FFFFFF"/>
                <w:sz w:val="18"/>
              </w:rPr>
              <w:t>Relevance to Project</w:t>
            </w:r>
          </w:p>
        </w:tc>
      </w:tr>
      <w:tr>
        <w:tc>
          <w:tcPr>
            <w:tcW w:type="dxa" w:w="2160"/>
            <w:shd w:fill="FFFFFF"/>
            <w:tcMar>
              <w:top w:w="80" w:type="dxa"/>
              <w:bottom w:w="80" w:type="dxa"/>
              <w:left w:w="100" w:type="dxa"/>
              <w:right w:w="100" w:type="dxa"/>
            </w:tcMar>
          </w:tcPr>
          <w:p>
            <w:pPr>
              <w:spacing w:line="252" w:lineRule="auto"/>
            </w:pPr>
            <w:r>
              <w:rPr>
                <w:rFonts w:ascii="Calibri" w:hAnsi="Calibri"/>
                <w:color w:val="2D3748"/>
                <w:sz w:val="17"/>
              </w:rPr>
              <w:t>Hastings et al. (2023)</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Instructor algorithmic team grouping</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Survey of 77 instructors, 21 interviews</w:t>
            </w:r>
          </w:p>
        </w:tc>
        <w:tc>
          <w:tcPr>
            <w:tcW w:type="dxa" w:w="2592"/>
            <w:shd w:fill="FFFFFF"/>
            <w:tcMar>
              <w:top w:w="80" w:type="dxa"/>
              <w:bottom w:w="80" w:type="dxa"/>
              <w:left w:w="100" w:type="dxa"/>
              <w:right w:w="100" w:type="dxa"/>
            </w:tcMar>
          </w:tcPr>
          <w:p>
            <w:pPr>
              <w:spacing w:line="252" w:lineRule="auto"/>
            </w:pPr>
            <w:r>
              <w:rPr>
                <w:rFonts w:ascii="Calibri" w:hAnsi="Calibri"/>
                <w:color w:val="2D3748"/>
                <w:sz w:val="17"/>
              </w:rPr>
              <w:t>Emphasizes transparent grouping criteria and manual administrative controls.</w:t>
            </w:r>
          </w:p>
        </w:tc>
      </w:tr>
      <w:tr>
        <w:tc>
          <w:tcPr>
            <w:tcW w:type="dxa" w:w="2160"/>
            <w:shd w:fill="F8FAFC"/>
            <w:tcMar>
              <w:top w:w="80" w:type="dxa"/>
              <w:bottom w:w="80" w:type="dxa"/>
              <w:left w:w="100" w:type="dxa"/>
              <w:right w:w="100" w:type="dxa"/>
            </w:tcMar>
          </w:tcPr>
          <w:p>
            <w:pPr>
              <w:spacing w:line="252" w:lineRule="auto"/>
            </w:pPr>
            <w:r>
              <w:rPr>
                <w:rFonts w:ascii="Calibri" w:hAnsi="Calibri"/>
                <w:color w:val="2D3748"/>
                <w:sz w:val="17"/>
              </w:rPr>
              <w:t>Forshaw et al. (2026)</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Fairness in student group formation</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Review of 262 papers, 18 tools, interviews</w:t>
            </w:r>
          </w:p>
        </w:tc>
        <w:tc>
          <w:tcPr>
            <w:tcW w:type="dxa" w:w="2592"/>
            <w:shd w:fill="F8FAFC"/>
            <w:tcMar>
              <w:top w:w="80" w:type="dxa"/>
              <w:bottom w:w="80" w:type="dxa"/>
              <w:left w:w="100" w:type="dxa"/>
              <w:right w:w="100" w:type="dxa"/>
            </w:tcMar>
          </w:tcPr>
          <w:p>
            <w:pPr>
              <w:spacing w:line="252" w:lineRule="auto"/>
            </w:pPr>
            <w:r>
              <w:rPr>
                <w:rFonts w:ascii="Calibri" w:hAnsi="Calibri"/>
                <w:color w:val="2D3748"/>
                <w:sz w:val="17"/>
              </w:rPr>
              <w:t>Directs equitable constraint allocation and role coverage standards.</w:t>
            </w:r>
          </w:p>
        </w:tc>
      </w:tr>
      <w:tr>
        <w:tc>
          <w:tcPr>
            <w:tcW w:type="dxa" w:w="2160"/>
            <w:shd w:fill="FFFFFF"/>
            <w:tcMar>
              <w:top w:w="80" w:type="dxa"/>
              <w:bottom w:w="80" w:type="dxa"/>
              <w:left w:w="100" w:type="dxa"/>
              <w:right w:w="100" w:type="dxa"/>
            </w:tcMar>
          </w:tcPr>
          <w:p>
            <w:pPr>
              <w:spacing w:line="252" w:lineRule="auto"/>
            </w:pPr>
            <w:r>
              <w:rPr>
                <w:rFonts w:ascii="Calibri" w:hAnsi="Calibri"/>
                <w:color w:val="2D3748"/>
                <w:sz w:val="17"/>
              </w:rPr>
              <w:t>Agarwal et al. (2022)</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Engineering student competency optimization</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Vector Evaluated Genetic Algorithm (~1,300 students)</w:t>
            </w:r>
          </w:p>
        </w:tc>
        <w:tc>
          <w:tcPr>
            <w:tcW w:type="dxa" w:w="2592"/>
            <w:shd w:fill="FFFFFF"/>
            <w:tcMar>
              <w:top w:w="80" w:type="dxa"/>
              <w:bottom w:w="80" w:type="dxa"/>
              <w:left w:w="100" w:type="dxa"/>
              <w:right w:w="100" w:type="dxa"/>
            </w:tcMar>
          </w:tcPr>
          <w:p>
            <w:pPr>
              <w:spacing w:line="252" w:lineRule="auto"/>
            </w:pPr>
            <w:r>
              <w:rPr>
                <w:rFonts w:ascii="Calibri" w:hAnsi="Calibri"/>
                <w:color w:val="2D3748"/>
                <w:sz w:val="17"/>
              </w:rPr>
              <w:t>Informs weighted skill and role balancing matrices.</w:t>
            </w:r>
          </w:p>
        </w:tc>
      </w:tr>
      <w:tr>
        <w:tc>
          <w:tcPr>
            <w:tcW w:type="dxa" w:w="2160"/>
            <w:shd w:fill="F8FAFC"/>
            <w:tcMar>
              <w:top w:w="80" w:type="dxa"/>
              <w:bottom w:w="80" w:type="dxa"/>
              <w:left w:w="100" w:type="dxa"/>
              <w:right w:w="100" w:type="dxa"/>
            </w:tcMar>
          </w:tcPr>
          <w:p>
            <w:pPr>
              <w:spacing w:line="252" w:lineRule="auto"/>
            </w:pPr>
            <w:r>
              <w:rPr>
                <w:rFonts w:ascii="Calibri" w:hAnsi="Calibri"/>
                <w:color w:val="2D3748"/>
                <w:sz w:val="17"/>
              </w:rPr>
              <w:t>Singh et al. (2025)</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Multicriteria team formation</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Clustering &amp; multicriteria integer programming</w:t>
            </w:r>
          </w:p>
        </w:tc>
        <w:tc>
          <w:tcPr>
            <w:tcW w:type="dxa" w:w="2592"/>
            <w:shd w:fill="F8FAFC"/>
            <w:tcMar>
              <w:top w:w="80" w:type="dxa"/>
              <w:bottom w:w="80" w:type="dxa"/>
              <w:left w:w="100" w:type="dxa"/>
              <w:right w:w="100" w:type="dxa"/>
            </w:tcMar>
          </w:tcPr>
          <w:p>
            <w:pPr>
              <w:spacing w:line="252" w:lineRule="auto"/>
            </w:pPr>
            <w:r>
              <w:rPr>
                <w:rFonts w:ascii="Calibri" w:hAnsi="Calibri"/>
                <w:color w:val="2D3748"/>
                <w:sz w:val="17"/>
              </w:rPr>
              <w:t>Informs explicit role constraints (e.g., Frontend + Backend pairing).</w:t>
            </w:r>
          </w:p>
        </w:tc>
      </w:tr>
      <w:tr>
        <w:tc>
          <w:tcPr>
            <w:tcW w:type="dxa" w:w="2160"/>
            <w:shd w:fill="FFFFFF"/>
            <w:tcMar>
              <w:top w:w="80" w:type="dxa"/>
              <w:bottom w:w="80" w:type="dxa"/>
              <w:left w:w="100" w:type="dxa"/>
              <w:right w:w="100" w:type="dxa"/>
            </w:tcMar>
          </w:tcPr>
          <w:p>
            <w:pPr>
              <w:spacing w:line="252" w:lineRule="auto"/>
            </w:pPr>
            <w:r>
              <w:rPr>
                <w:rFonts w:ascii="Calibri" w:hAnsi="Calibri"/>
                <w:color w:val="2D3748"/>
                <w:sz w:val="17"/>
              </w:rPr>
              <w:t>Wu et al. (2026)</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Intragroup pressure in teams</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NSGA-II grouping analysis (81 students)</w:t>
            </w:r>
          </w:p>
        </w:tc>
        <w:tc>
          <w:tcPr>
            <w:tcW w:type="dxa" w:w="2592"/>
            <w:shd w:fill="FFFFFF"/>
            <w:tcMar>
              <w:top w:w="80" w:type="dxa"/>
              <w:bottom w:w="80" w:type="dxa"/>
              <w:left w:w="100" w:type="dxa"/>
              <w:right w:w="100" w:type="dxa"/>
            </w:tcMar>
          </w:tcPr>
          <w:p>
            <w:pPr>
              <w:spacing w:line="252" w:lineRule="auto"/>
            </w:pPr>
            <w:r>
              <w:rPr>
                <w:rFonts w:ascii="Calibri" w:hAnsi="Calibri"/>
                <w:color w:val="2D3748"/>
                <w:sz w:val="17"/>
              </w:rPr>
              <w:t>Highlights social and interest effects beyond pure technical skill vectors.</w:t>
            </w:r>
          </w:p>
        </w:tc>
      </w:tr>
      <w:tr>
        <w:tc>
          <w:tcPr>
            <w:tcW w:type="dxa" w:w="2160"/>
            <w:shd w:fill="F8FAFC"/>
            <w:tcMar>
              <w:top w:w="80" w:type="dxa"/>
              <w:bottom w:w="80" w:type="dxa"/>
              <w:left w:w="100" w:type="dxa"/>
              <w:right w:w="100" w:type="dxa"/>
            </w:tcMar>
          </w:tcPr>
          <w:p>
            <w:pPr>
              <w:spacing w:line="252" w:lineRule="auto"/>
            </w:pPr>
            <w:r>
              <w:rPr>
                <w:rFonts w:ascii="Calibri" w:hAnsi="Calibri"/>
                <w:color w:val="2D3748"/>
                <w:sz w:val="17"/>
              </w:rPr>
              <w:t>Vinella et al. (2022)</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Worker-centered team formation</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Agent-based simulation of team formation</w:t>
            </w:r>
          </w:p>
        </w:tc>
        <w:tc>
          <w:tcPr>
            <w:tcW w:type="dxa" w:w="2592"/>
            <w:shd w:fill="F8FAFC"/>
            <w:tcMar>
              <w:top w:w="80" w:type="dxa"/>
              <w:bottom w:w="80" w:type="dxa"/>
              <w:left w:w="100" w:type="dxa"/>
              <w:right w:w="100" w:type="dxa"/>
            </w:tcMar>
          </w:tcPr>
          <w:p>
            <w:pPr>
              <w:spacing w:line="252" w:lineRule="auto"/>
            </w:pPr>
            <w:r>
              <w:rPr>
                <w:rFonts w:ascii="Calibri" w:hAnsi="Calibri"/>
                <w:color w:val="2D3748"/>
                <w:sz w:val="17"/>
              </w:rPr>
              <w:t>Supports participant agency, opt-in choice, and hybrid matching.</w:t>
            </w:r>
          </w:p>
        </w:tc>
      </w:tr>
      <w:tr>
        <w:tc>
          <w:tcPr>
            <w:tcW w:type="dxa" w:w="2160"/>
            <w:shd w:fill="FFFFFF"/>
            <w:tcMar>
              <w:top w:w="80" w:type="dxa"/>
              <w:bottom w:w="80" w:type="dxa"/>
              <w:left w:w="100" w:type="dxa"/>
              <w:right w:w="100" w:type="dxa"/>
            </w:tcMar>
          </w:tcPr>
          <w:p>
            <w:pPr>
              <w:spacing w:line="252" w:lineRule="auto"/>
            </w:pPr>
            <w:r>
              <w:rPr>
                <w:rFonts w:ascii="Calibri" w:hAnsi="Calibri"/>
                <w:color w:val="2D3748"/>
                <w:sz w:val="17"/>
              </w:rPr>
              <w:t>Gómez-Zará et al. (2019)</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Online collaborator discovery</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Field study (43 participants, 8 teams)</w:t>
            </w:r>
          </w:p>
        </w:tc>
        <w:tc>
          <w:tcPr>
            <w:tcW w:type="dxa" w:w="2592"/>
            <w:shd w:fill="FFFFFF"/>
            <w:tcMar>
              <w:top w:w="80" w:type="dxa"/>
              <w:bottom w:w="80" w:type="dxa"/>
              <w:left w:w="100" w:type="dxa"/>
              <w:right w:w="100" w:type="dxa"/>
            </w:tcMar>
          </w:tcPr>
          <w:p>
            <w:pPr>
              <w:spacing w:line="252" w:lineRule="auto"/>
            </w:pPr>
            <w:r>
              <w:rPr>
                <w:rFonts w:ascii="Calibri" w:hAnsi="Calibri"/>
                <w:color w:val="2D3748"/>
                <w:sz w:val="17"/>
              </w:rPr>
              <w:t>Addresses collaborator discovery and overcoming social silos.</w:t>
            </w:r>
          </w:p>
        </w:tc>
      </w:tr>
      <w:tr>
        <w:tc>
          <w:tcPr>
            <w:tcW w:type="dxa" w:w="2160"/>
            <w:shd w:fill="F8FAFC"/>
            <w:tcMar>
              <w:top w:w="80" w:type="dxa"/>
              <w:bottom w:w="80" w:type="dxa"/>
              <w:left w:w="100" w:type="dxa"/>
              <w:right w:w="100" w:type="dxa"/>
            </w:tcMar>
          </w:tcPr>
          <w:p>
            <w:pPr>
              <w:spacing w:line="252" w:lineRule="auto"/>
            </w:pPr>
            <w:r>
              <w:rPr>
                <w:rFonts w:ascii="Calibri" w:hAnsi="Calibri"/>
                <w:color w:val="2D3748"/>
                <w:sz w:val="17"/>
              </w:rPr>
              <w:t>Kohli et al. (2023)</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Inclusive study group matching</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7"/>
              </w:rPr>
              <w:t>Opt-in matching study in remote course</w:t>
            </w:r>
          </w:p>
        </w:tc>
        <w:tc>
          <w:tcPr>
            <w:tcW w:type="dxa" w:w="2592"/>
            <w:shd w:fill="F8FAFC"/>
            <w:tcMar>
              <w:top w:w="80" w:type="dxa"/>
              <w:bottom w:w="80" w:type="dxa"/>
              <w:left w:w="100" w:type="dxa"/>
              <w:right w:w="100" w:type="dxa"/>
            </w:tcMar>
          </w:tcPr>
          <w:p>
            <w:pPr>
              <w:spacing w:line="252" w:lineRule="auto"/>
            </w:pPr>
            <w:r>
              <w:rPr>
                <w:rFonts w:ascii="Calibri" w:hAnsi="Calibri"/>
                <w:color w:val="2D3748"/>
                <w:sz w:val="17"/>
              </w:rPr>
              <w:t>Validates opt-in confirmation workflows for solo participants.</w:t>
            </w:r>
          </w:p>
        </w:tc>
      </w:tr>
      <w:tr>
        <w:tc>
          <w:tcPr>
            <w:tcW w:type="dxa" w:w="2160"/>
            <w:shd w:fill="FFFFFF"/>
            <w:tcMar>
              <w:top w:w="80" w:type="dxa"/>
              <w:bottom w:w="80" w:type="dxa"/>
              <w:left w:w="100" w:type="dxa"/>
              <w:right w:w="100" w:type="dxa"/>
            </w:tcMar>
          </w:tcPr>
          <w:p>
            <w:pPr>
              <w:spacing w:line="252" w:lineRule="auto"/>
            </w:pPr>
            <w:r>
              <w:rPr>
                <w:rFonts w:ascii="Calibri" w:hAnsi="Calibri"/>
                <w:color w:val="2D3748"/>
                <w:sz w:val="17"/>
              </w:rPr>
              <w:t>Jadhav et al. (2026)</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Academic team &amp; topic recommendation</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7"/>
              </w:rPr>
              <w:t>Profile clustering (250 research summaries)</w:t>
            </w:r>
          </w:p>
        </w:tc>
        <w:tc>
          <w:tcPr>
            <w:tcW w:type="dxa" w:w="2592"/>
            <w:shd w:fill="FFFFFF"/>
            <w:tcMar>
              <w:top w:w="80" w:type="dxa"/>
              <w:bottom w:w="80" w:type="dxa"/>
              <w:left w:w="100" w:type="dxa"/>
              <w:right w:w="100" w:type="dxa"/>
            </w:tcMar>
          </w:tcPr>
          <w:p>
            <w:pPr>
              <w:spacing w:line="252" w:lineRule="auto"/>
            </w:pPr>
            <w:r>
              <w:rPr>
                <w:rFonts w:ascii="Calibri" w:hAnsi="Calibri"/>
                <w:color w:val="2D3748"/>
                <w:sz w:val="17"/>
              </w:rPr>
              <w:t>Validates vector-based matching for technical project topics.</w:t>
            </w:r>
          </w:p>
        </w:tc>
      </w:tr>
    </w:tbl>
    <w:p>
      <w:pPr>
        <w:spacing w:after="160"/>
      </w:pPr>
    </w:p>
    <w:p>
      <w:pPr>
        <w:keepNext/>
        <w:spacing w:before="320" w:after="120"/>
      </w:pPr>
      <w:r>
        <w:rPr>
          <w:rFonts w:ascii="Calibri" w:hAnsi="Calibri"/>
          <w:b/>
          <w:color w:val="1A365D"/>
          <w:sz w:val="30"/>
        </w:rPr>
        <w:t>4. Existing System Comparison</w:t>
      </w:r>
    </w:p>
    <w:p>
      <w:pPr>
        <w:spacing w:after="160" w:line="276" w:lineRule="auto"/>
      </w:pPr>
      <w:r>
        <w:rPr>
          <w:rFonts w:ascii="Calibri" w:hAnsi="Calibri"/>
          <w:color w:val="2D3748"/>
          <w:sz w:val="20"/>
        </w:rPr>
        <w:t>A comparative analysis of existing software platforms was conducted to benchmark capabilities against academic diploma requirements. Conventional solutions either focus on classroom grouping without thesis topic management, or event submissions without multi-criteria matching. The proposed system uniquely integrates topic catalogs, supervisor capacity quotas, student skill tracking, and explainable multi-criteria allocation into a single university platform.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100" w:type="dxa"/>
              <w:bottom w:w="100" w:type="dxa"/>
              <w:left w:w="100" w:type="dxa"/>
              <w:right w:w="100" w:type="dxa"/>
            </w:tcMar>
          </w:tcPr>
          <w:p>
            <w:r>
              <w:rPr>
                <w:rFonts w:ascii="Calibri" w:hAnsi="Calibri"/>
                <w:b/>
                <w:color w:val="FFFFFF"/>
                <w:sz w:val="17"/>
              </w:rPr>
              <w:t>Comparison Criteria</w:t>
            </w:r>
          </w:p>
        </w:tc>
        <w:tc>
          <w:tcPr>
            <w:tcW w:type="dxa" w:w="1584"/>
            <w:shd w:fill="1A365D"/>
            <w:tcMar>
              <w:top w:w="100" w:type="dxa"/>
              <w:bottom w:w="100" w:type="dxa"/>
              <w:left w:w="100" w:type="dxa"/>
              <w:right w:w="100" w:type="dxa"/>
            </w:tcMar>
          </w:tcPr>
          <w:p>
            <w:r>
              <w:rPr>
                <w:rFonts w:ascii="Calibri" w:hAnsi="Calibri"/>
                <w:b/>
                <w:color w:val="FFFFFF"/>
                <w:sz w:val="17"/>
              </w:rPr>
              <w:t>CATME Team-Maker</w:t>
            </w:r>
          </w:p>
        </w:tc>
        <w:tc>
          <w:tcPr>
            <w:tcW w:type="dxa" w:w="1584"/>
            <w:shd w:fill="1A365D"/>
            <w:tcMar>
              <w:top w:w="100" w:type="dxa"/>
              <w:bottom w:w="100" w:type="dxa"/>
              <w:left w:w="100" w:type="dxa"/>
              <w:right w:w="100" w:type="dxa"/>
            </w:tcMar>
          </w:tcPr>
          <w:p>
            <w:r>
              <w:rPr>
                <w:rFonts w:ascii="Calibri" w:hAnsi="Calibri"/>
                <w:b/>
                <w:color w:val="FFFFFF"/>
                <w:sz w:val="17"/>
              </w:rPr>
              <w:t>Moodle Group Choice</w:t>
            </w:r>
          </w:p>
        </w:tc>
        <w:tc>
          <w:tcPr>
            <w:tcW w:type="dxa" w:w="1584"/>
            <w:shd w:fill="1A365D"/>
            <w:tcMar>
              <w:top w:w="100" w:type="dxa"/>
              <w:bottom w:w="100" w:type="dxa"/>
              <w:left w:w="100" w:type="dxa"/>
              <w:right w:w="100" w:type="dxa"/>
            </w:tcMar>
          </w:tcPr>
          <w:p>
            <w:r>
              <w:rPr>
                <w:rFonts w:ascii="Calibri" w:hAnsi="Calibri"/>
                <w:b/>
                <w:color w:val="FFFFFF"/>
                <w:sz w:val="17"/>
              </w:rPr>
              <w:t>Devpost</w:t>
            </w:r>
          </w:p>
        </w:tc>
        <w:tc>
          <w:tcPr>
            <w:tcW w:type="dxa" w:w="2016"/>
            <w:shd w:fill="1A365D"/>
            <w:tcMar>
              <w:top w:w="100" w:type="dxa"/>
              <w:bottom w:w="100" w:type="dxa"/>
              <w:left w:w="100" w:type="dxa"/>
              <w:right w:w="100" w:type="dxa"/>
            </w:tcMar>
          </w:tcPr>
          <w:p>
            <w:r>
              <w:rPr>
                <w:rFonts w:ascii="Calibri" w:hAnsi="Calibri"/>
                <w:b/>
                <w:color w:val="FFFFFF"/>
                <w:sz w:val="17"/>
              </w:rPr>
              <w:t>Proposed System</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Topic Catalog &amp; Quota Management</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Basic (Static list)</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2016"/>
            <w:shd w:fill="FFFFFF"/>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8FAFC"/>
            <w:tcMar>
              <w:top w:w="80" w:type="dxa"/>
              <w:bottom w:w="80" w:type="dxa"/>
              <w:left w:w="100" w:type="dxa"/>
              <w:right w:w="100" w:type="dxa"/>
            </w:tcMar>
          </w:tcPr>
          <w:p>
            <w:pPr>
              <w:spacing w:line="252" w:lineRule="auto"/>
            </w:pPr>
            <w:r>
              <w:rPr>
                <w:rFonts w:ascii="Calibri" w:hAnsi="Calibri"/>
                <w:color w:val="2D3748"/>
                <w:sz w:val="16"/>
              </w:rPr>
              <w:t>Detailed Skill &amp; Role Profiles</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Survey-based</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Basic</w:t>
            </w:r>
          </w:p>
        </w:tc>
        <w:tc>
          <w:tcPr>
            <w:tcW w:type="dxa" w:w="2016"/>
            <w:shd w:fill="F8FAFC"/>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Automated Topic Recommendation</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2016"/>
            <w:shd w:fill="FFFFFF"/>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8FAFC"/>
            <w:tcMar>
              <w:top w:w="80" w:type="dxa"/>
              <w:bottom w:w="80" w:type="dxa"/>
              <w:left w:w="100" w:type="dxa"/>
              <w:right w:w="100" w:type="dxa"/>
            </w:tcMar>
          </w:tcPr>
          <w:p>
            <w:pPr>
              <w:spacing w:line="252" w:lineRule="auto"/>
            </w:pPr>
            <w:r>
              <w:rPr>
                <w:rFonts w:ascii="Calibri" w:hAnsi="Calibri"/>
                <w:color w:val="2D3748"/>
                <w:sz w:val="16"/>
              </w:rPr>
              <w:t>Multi-Criteria Skill Grouping</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Yes</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No</w:t>
            </w:r>
          </w:p>
        </w:tc>
        <w:tc>
          <w:tcPr>
            <w:tcW w:type="dxa" w:w="2016"/>
            <w:shd w:fill="F8FAFC"/>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Supervisor Capacity Balancing</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Basic (Cap limits)</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No</w:t>
            </w:r>
          </w:p>
        </w:tc>
        <w:tc>
          <w:tcPr>
            <w:tcW w:type="dxa" w:w="2016"/>
            <w:shd w:fill="FFFFFF"/>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8FAFC"/>
            <w:tcMar>
              <w:top w:w="80" w:type="dxa"/>
              <w:bottom w:w="80" w:type="dxa"/>
              <w:left w:w="100" w:type="dxa"/>
              <w:right w:w="100" w:type="dxa"/>
            </w:tcMar>
          </w:tcPr>
          <w:p>
            <w:pPr>
              <w:spacing w:line="252" w:lineRule="auto"/>
            </w:pPr>
            <w:r>
              <w:rPr>
                <w:rFonts w:ascii="Calibri" w:hAnsi="Calibri"/>
                <w:color w:val="2D3748"/>
                <w:sz w:val="16"/>
              </w:rPr>
              <w:t>Student Invitation &amp; Opt-In Flow</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Instructor-led</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Self-select only</w:t>
            </w:r>
          </w:p>
        </w:tc>
        <w:tc>
          <w:tcPr>
            <w:tcW w:type="dxa" w:w="1584"/>
            <w:shd w:fill="F8FAFC"/>
            <w:tcMar>
              <w:top w:w="80" w:type="dxa"/>
              <w:bottom w:w="80" w:type="dxa"/>
              <w:left w:w="100" w:type="dxa"/>
              <w:right w:w="100" w:type="dxa"/>
            </w:tcMar>
          </w:tcPr>
          <w:p>
            <w:pPr>
              <w:spacing w:line="252" w:lineRule="auto"/>
            </w:pPr>
            <w:r>
              <w:rPr>
                <w:rFonts w:ascii="Calibri" w:hAnsi="Calibri"/>
                <w:color w:val="2D3748"/>
                <w:sz w:val="16"/>
              </w:rPr>
              <w:t>Manual join</w:t>
            </w:r>
          </w:p>
        </w:tc>
        <w:tc>
          <w:tcPr>
            <w:tcW w:type="dxa" w:w="2016"/>
            <w:shd w:fill="F8FAFC"/>
            <w:tcMar>
              <w:top w:w="80" w:type="dxa"/>
              <w:bottom w:w="80" w:type="dxa"/>
              <w:left w:w="100" w:type="dxa"/>
              <w:right w:w="100" w:type="dxa"/>
            </w:tcMar>
          </w:tcPr>
          <w:p>
            <w:pPr>
              <w:spacing w:line="252" w:lineRule="auto"/>
            </w:pPr>
            <w:r>
              <w:rPr>
                <w:rFonts w:ascii="Calibri" w:hAnsi="Calibri"/>
                <w:b/>
                <w:color w:val="2D3748"/>
                <w:sz w:val="16"/>
              </w:rPr>
              <w:t>Planned</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Administrative Department Oversight</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Instructor only</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Course level</w:t>
            </w:r>
          </w:p>
        </w:tc>
        <w:tc>
          <w:tcPr>
            <w:tcW w:type="dxa" w:w="1584"/>
            <w:shd w:fill="FFFFFF"/>
            <w:tcMar>
              <w:top w:w="80" w:type="dxa"/>
              <w:bottom w:w="80" w:type="dxa"/>
              <w:left w:w="100" w:type="dxa"/>
              <w:right w:w="100" w:type="dxa"/>
            </w:tcMar>
          </w:tcPr>
          <w:p>
            <w:pPr>
              <w:spacing w:line="252" w:lineRule="auto"/>
            </w:pPr>
            <w:r>
              <w:rPr>
                <w:rFonts w:ascii="Calibri" w:hAnsi="Calibri"/>
                <w:color w:val="2D3748"/>
                <w:sz w:val="16"/>
              </w:rPr>
              <w:t>Organizer level</w:t>
            </w:r>
          </w:p>
        </w:tc>
        <w:tc>
          <w:tcPr>
            <w:tcW w:type="dxa" w:w="2016"/>
            <w:shd w:fill="FFFFFF"/>
            <w:tcMar>
              <w:top w:w="80" w:type="dxa"/>
              <w:bottom w:w="80" w:type="dxa"/>
              <w:left w:w="100" w:type="dxa"/>
              <w:right w:w="100" w:type="dxa"/>
            </w:tcMar>
          </w:tcPr>
          <w:p>
            <w:pPr>
              <w:spacing w:line="252" w:lineRule="auto"/>
            </w:pPr>
            <w:r>
              <w:rPr>
                <w:rFonts w:ascii="Calibri" w:hAnsi="Calibri"/>
                <w:b/>
                <w:color w:val="2D3748"/>
                <w:sz w:val="16"/>
              </w:rPr>
              <w:t>Planned</w:t>
            </w:r>
          </w:p>
        </w:tc>
      </w:tr>
    </w:tbl>
    <w:p>
      <w:pPr>
        <w:spacing w:after="160"/>
      </w:pPr>
    </w:p>
    <w:p>
      <w:pPr>
        <w:keepNext/>
        <w:spacing w:before="320" w:after="120"/>
      </w:pPr>
      <w:r>
        <w:rPr>
          <w:rFonts w:ascii="Calibri" w:hAnsi="Calibri"/>
          <w:b/>
          <w:color w:val="1A365D"/>
          <w:sz w:val="30"/>
        </w:rPr>
        <w:t>5. Technology Comparison &amp; Selection</w:t>
      </w:r>
    </w:p>
    <w:p>
      <w:pPr>
        <w:spacing w:after="160" w:line="276" w:lineRule="auto"/>
      </w:pPr>
      <w:r>
        <w:rPr>
          <w:rFonts w:ascii="Calibri" w:hAnsi="Calibri"/>
          <w:color w:val="2D3748"/>
          <w:sz w:val="20"/>
        </w:rPr>
        <w:t>To ensure system maintainability, high computational performance for matching algorithms, and streamlined development within a two-person team, architectural alternatives were evaluated.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Mar>
              <w:top w:w="100" w:type="dxa"/>
              <w:bottom w:w="100" w:type="dxa"/>
              <w:left w:w="100" w:type="dxa"/>
              <w:right w:w="100" w:type="dxa"/>
            </w:tcMar>
          </w:tcPr>
          <w:p>
            <w:r>
              <w:rPr>
                <w:rFonts w:ascii="Calibri" w:hAnsi="Calibri"/>
                <w:b/>
                <w:color w:val="FFFFFF"/>
                <w:sz w:val="17"/>
              </w:rPr>
              <w:t>Technical Layer</w:t>
            </w:r>
          </w:p>
        </w:tc>
        <w:tc>
          <w:tcPr>
            <w:tcW w:type="dxa" w:w="2304"/>
            <w:shd w:fill="1A365D"/>
            <w:tcMar>
              <w:top w:w="100" w:type="dxa"/>
              <w:bottom w:w="100" w:type="dxa"/>
              <w:left w:w="100" w:type="dxa"/>
              <w:right w:w="100" w:type="dxa"/>
            </w:tcMar>
          </w:tcPr>
          <w:p>
            <w:r>
              <w:rPr>
                <w:rFonts w:ascii="Calibri" w:hAnsi="Calibri"/>
                <w:b/>
                <w:color w:val="FFFFFF"/>
                <w:sz w:val="17"/>
              </w:rPr>
              <w:t>Alternative A</w:t>
            </w:r>
          </w:p>
        </w:tc>
        <w:tc>
          <w:tcPr>
            <w:tcW w:type="dxa" w:w="2304"/>
            <w:shd w:fill="1A365D"/>
            <w:tcMar>
              <w:top w:w="100" w:type="dxa"/>
              <w:bottom w:w="100" w:type="dxa"/>
              <w:left w:w="100" w:type="dxa"/>
              <w:right w:w="100" w:type="dxa"/>
            </w:tcMar>
          </w:tcPr>
          <w:p>
            <w:r>
              <w:rPr>
                <w:rFonts w:ascii="Calibri" w:hAnsi="Calibri"/>
                <w:b/>
                <w:color w:val="FFFFFF"/>
                <w:sz w:val="17"/>
              </w:rPr>
              <w:t>Alternative B</w:t>
            </w:r>
          </w:p>
        </w:tc>
        <w:tc>
          <w:tcPr>
            <w:tcW w:type="dxa" w:w="2736"/>
            <w:shd w:fill="1A365D"/>
            <w:tcMar>
              <w:top w:w="100" w:type="dxa"/>
              <w:bottom w:w="100" w:type="dxa"/>
              <w:left w:w="100" w:type="dxa"/>
              <w:right w:w="100" w:type="dxa"/>
            </w:tcMar>
          </w:tcPr>
          <w:p>
            <w:r>
              <w:rPr>
                <w:rFonts w:ascii="Calibri" w:hAnsi="Calibri"/>
                <w:b/>
                <w:color w:val="FFFFFF"/>
                <w:sz w:val="17"/>
              </w:rPr>
              <w:t>Selected Choice &amp; Justification</w:t>
            </w:r>
          </w:p>
        </w:tc>
      </w:tr>
      <w:tr>
        <w:tc>
          <w:tcPr>
            <w:tcW w:type="dxa" w:w="2016"/>
            <w:shd w:fill="FFFFFF"/>
            <w:tcMar>
              <w:top w:w="80" w:type="dxa"/>
              <w:bottom w:w="80" w:type="dxa"/>
              <w:left w:w="100" w:type="dxa"/>
              <w:right w:w="100" w:type="dxa"/>
            </w:tcMar>
          </w:tcPr>
          <w:p>
            <w:pPr>
              <w:spacing w:line="252" w:lineRule="auto"/>
            </w:pPr>
            <w:r>
              <w:rPr>
                <w:rFonts w:ascii="Calibri" w:hAnsi="Calibri"/>
                <w:color w:val="2D3748"/>
                <w:sz w:val="16"/>
              </w:rPr>
              <w:t>Frontend Framework</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6"/>
              </w:rPr>
              <w:t>React.js (Reusable UI, rich ecosystem)</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6"/>
              </w:rPr>
              <w:t>Vue.js (Progressive, lightweight)</w:t>
            </w:r>
          </w:p>
        </w:tc>
        <w:tc>
          <w:tcPr>
            <w:tcW w:type="dxa" w:w="2736"/>
            <w:shd w:fill="FFFFFF"/>
            <w:tcMar>
              <w:top w:w="80" w:type="dxa"/>
              <w:bottom w:w="80" w:type="dxa"/>
              <w:left w:w="100" w:type="dxa"/>
              <w:right w:w="100" w:type="dxa"/>
            </w:tcMar>
          </w:tcPr>
          <w:p>
            <w:pPr>
              <w:spacing w:line="252" w:lineRule="auto"/>
            </w:pPr>
            <w:r>
              <w:rPr>
                <w:rFonts w:ascii="Calibri" w:hAnsi="Calibri"/>
                <w:color w:val="2D3748"/>
                <w:sz w:val="16"/>
              </w:rPr>
              <w:t>React.js. Component-based architecture perfectly suits data dashboards; matches developer's background.</w:t>
            </w:r>
          </w:p>
        </w:tc>
      </w:tr>
      <w:tr>
        <w:tc>
          <w:tcPr>
            <w:tcW w:type="dxa" w:w="2016"/>
            <w:shd w:fill="F8FAFC"/>
            <w:tcMar>
              <w:top w:w="80" w:type="dxa"/>
              <w:bottom w:w="80" w:type="dxa"/>
              <w:left w:w="100" w:type="dxa"/>
              <w:right w:w="100" w:type="dxa"/>
            </w:tcMar>
          </w:tcPr>
          <w:p>
            <w:pPr>
              <w:spacing w:line="252" w:lineRule="auto"/>
            </w:pPr>
            <w:r>
              <w:rPr>
                <w:rFonts w:ascii="Calibri" w:hAnsi="Calibri"/>
                <w:color w:val="2D3748"/>
                <w:sz w:val="16"/>
              </w:rPr>
              <w:t>Backend Framework</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6"/>
              </w:rPr>
              <w:t>FastAPI (Python, async, native validation)</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6"/>
              </w:rPr>
              <w:t>Node.js / Express (JS across full stack)</w:t>
            </w:r>
          </w:p>
        </w:tc>
        <w:tc>
          <w:tcPr>
            <w:tcW w:type="dxa" w:w="2736"/>
            <w:shd w:fill="F8FAFC"/>
            <w:tcMar>
              <w:top w:w="80" w:type="dxa"/>
              <w:bottom w:w="80" w:type="dxa"/>
              <w:left w:w="100" w:type="dxa"/>
              <w:right w:w="100" w:type="dxa"/>
            </w:tcMar>
          </w:tcPr>
          <w:p>
            <w:pPr>
              <w:spacing w:line="252" w:lineRule="auto"/>
            </w:pPr>
            <w:r>
              <w:rPr>
                <w:rFonts w:ascii="Calibri" w:hAnsi="Calibri"/>
                <w:color w:val="2D3748"/>
                <w:sz w:val="16"/>
              </w:rPr>
              <w:t>FastAPI (Python). Provides high execution speed and seamless integration with Python matching/ML libraries.</w:t>
            </w:r>
          </w:p>
        </w:tc>
      </w:tr>
      <w:tr>
        <w:tc>
          <w:tcPr>
            <w:tcW w:type="dxa" w:w="2016"/>
            <w:shd w:fill="FFFFFF"/>
            <w:tcMar>
              <w:top w:w="80" w:type="dxa"/>
              <w:bottom w:w="80" w:type="dxa"/>
              <w:left w:w="100" w:type="dxa"/>
              <w:right w:w="100" w:type="dxa"/>
            </w:tcMar>
          </w:tcPr>
          <w:p>
            <w:pPr>
              <w:spacing w:line="252" w:lineRule="auto"/>
            </w:pPr>
            <w:r>
              <w:rPr>
                <w:rFonts w:ascii="Calibri" w:hAnsi="Calibri"/>
                <w:color w:val="2D3748"/>
                <w:sz w:val="16"/>
              </w:rPr>
              <w:t>Database System</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6"/>
              </w:rPr>
              <w:t>PostgreSQL (ACID, relational integrity, pgvector)</w:t>
            </w:r>
          </w:p>
        </w:tc>
        <w:tc>
          <w:tcPr>
            <w:tcW w:type="dxa" w:w="2304"/>
            <w:shd w:fill="FFFFFF"/>
            <w:tcMar>
              <w:top w:w="80" w:type="dxa"/>
              <w:bottom w:w="80" w:type="dxa"/>
              <w:left w:w="100" w:type="dxa"/>
              <w:right w:w="100" w:type="dxa"/>
            </w:tcMar>
          </w:tcPr>
          <w:p>
            <w:pPr>
              <w:spacing w:line="252" w:lineRule="auto"/>
            </w:pPr>
            <w:r>
              <w:rPr>
                <w:rFonts w:ascii="Calibri" w:hAnsi="Calibri"/>
                <w:color w:val="2D3748"/>
                <w:sz w:val="16"/>
              </w:rPr>
              <w:t>MongoDB (Flexible document store)</w:t>
            </w:r>
          </w:p>
        </w:tc>
        <w:tc>
          <w:tcPr>
            <w:tcW w:type="dxa" w:w="2736"/>
            <w:shd w:fill="FFFFFF"/>
            <w:tcMar>
              <w:top w:w="80" w:type="dxa"/>
              <w:bottom w:w="80" w:type="dxa"/>
              <w:left w:w="100" w:type="dxa"/>
              <w:right w:w="100" w:type="dxa"/>
            </w:tcMar>
          </w:tcPr>
          <w:p>
            <w:pPr>
              <w:spacing w:line="252" w:lineRule="auto"/>
            </w:pPr>
            <w:r>
              <w:rPr>
                <w:rFonts w:ascii="Calibri" w:hAnsi="Calibri"/>
                <w:color w:val="2D3748"/>
                <w:sz w:val="16"/>
              </w:rPr>
              <w:t>PostgreSQL. Relational model ensures data integrity across users, roles, topics, and team memberships.</w:t>
            </w:r>
          </w:p>
        </w:tc>
      </w:tr>
      <w:tr>
        <w:tc>
          <w:tcPr>
            <w:tcW w:type="dxa" w:w="2016"/>
            <w:shd w:fill="F8FAFC"/>
            <w:tcMar>
              <w:top w:w="80" w:type="dxa"/>
              <w:bottom w:w="80" w:type="dxa"/>
              <w:left w:w="100" w:type="dxa"/>
              <w:right w:w="100" w:type="dxa"/>
            </w:tcMar>
          </w:tcPr>
          <w:p>
            <w:pPr>
              <w:spacing w:line="252" w:lineRule="auto"/>
            </w:pPr>
            <w:r>
              <w:rPr>
                <w:rFonts w:ascii="Calibri" w:hAnsi="Calibri"/>
                <w:color w:val="2D3748"/>
                <w:sz w:val="16"/>
              </w:rPr>
              <w:t>Matching Strategy</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6"/>
              </w:rPr>
              <w:t>Weighted Multi-Criteria Algorithm</w:t>
            </w:r>
          </w:p>
        </w:tc>
        <w:tc>
          <w:tcPr>
            <w:tcW w:type="dxa" w:w="2304"/>
            <w:shd w:fill="F8FAFC"/>
            <w:tcMar>
              <w:top w:w="80" w:type="dxa"/>
              <w:bottom w:w="80" w:type="dxa"/>
              <w:left w:w="100" w:type="dxa"/>
              <w:right w:w="100" w:type="dxa"/>
            </w:tcMar>
          </w:tcPr>
          <w:p>
            <w:pPr>
              <w:spacing w:line="252" w:lineRule="auto"/>
            </w:pPr>
            <w:r>
              <w:rPr>
                <w:rFonts w:ascii="Calibri" w:hAnsi="Calibri"/>
                <w:color w:val="2D3748"/>
                <w:sz w:val="16"/>
              </w:rPr>
              <w:t>Genetic Algorithm (High compute, non-deterministic)</w:t>
            </w:r>
          </w:p>
        </w:tc>
        <w:tc>
          <w:tcPr>
            <w:tcW w:type="dxa" w:w="2736"/>
            <w:shd w:fill="F8FAFC"/>
            <w:tcMar>
              <w:top w:w="80" w:type="dxa"/>
              <w:bottom w:w="80" w:type="dxa"/>
              <w:left w:w="100" w:type="dxa"/>
              <w:right w:w="100" w:type="dxa"/>
            </w:tcMar>
          </w:tcPr>
          <w:p>
            <w:pPr>
              <w:spacing w:line="252" w:lineRule="auto"/>
            </w:pPr>
            <w:r>
              <w:rPr>
                <w:rFonts w:ascii="Calibri" w:hAnsi="Calibri"/>
                <w:color w:val="2D3748"/>
                <w:sz w:val="16"/>
              </w:rPr>
              <w:t>Weighted Multi-Criteria. Combines deterministic role constraints (Frontend/Backend) with cosine similarity.</w:t>
            </w:r>
          </w:p>
        </w:tc>
      </w:tr>
    </w:tbl>
    <w:p>
      <w:pPr>
        <w:spacing w:after="160"/>
      </w:pPr>
    </w:p>
    <w:p>
      <w:pPr>
        <w:keepNext/>
        <w:spacing w:before="320" w:after="120"/>
      </w:pPr>
      <w:r>
        <w:rPr>
          <w:rFonts w:ascii="Calibri" w:hAnsi="Calibri"/>
          <w:b/>
          <w:color w:val="1A365D"/>
          <w:sz w:val="30"/>
        </w:rPr>
        <w:t>6. Requirements Specification</w:t>
      </w:r>
    </w:p>
    <w:p>
      <w:pPr>
        <w:keepNext/>
        <w:spacing w:before="240" w:after="80"/>
      </w:pPr>
      <w:r>
        <w:rPr>
          <w:rFonts w:ascii="Calibri" w:hAnsi="Calibri"/>
          <w:b/>
          <w:color w:val="3182CE"/>
          <w:sz w:val="24"/>
        </w:rPr>
        <w:t>Functional Requirements</w:t>
      </w:r>
    </w:p>
    <w:p>
      <w:pPr>
        <w:pStyle w:val="ListBullet"/>
        <w:spacing w:after="60" w:line="276" w:lineRule="auto"/>
      </w:pPr>
      <w:r>
        <w:rPr>
          <w:rFonts w:ascii="Calibri" w:hAnsi="Calibri"/>
          <w:b/>
          <w:color w:val="2D3748"/>
          <w:sz w:val="20"/>
        </w:rPr>
        <w:t xml:space="preserve">FR-01 (Authentication &amp; RBAC): </w:t>
      </w:r>
      <w:r>
        <w:rPr>
          <w:rFonts w:ascii="Calibri" w:hAnsi="Calibri"/>
          <w:color w:val="2D3748"/>
          <w:sz w:val="20"/>
        </w:rPr>
        <w:t>The system shall authenticate users via JWT and enforce Role-Based Access Control for Students, Supervisors, and Department Administrators.</w:t>
      </w:r>
    </w:p>
    <w:p>
      <w:pPr>
        <w:pStyle w:val="ListBullet"/>
        <w:spacing w:after="60" w:line="276" w:lineRule="auto"/>
      </w:pPr>
      <w:r>
        <w:rPr>
          <w:rFonts w:ascii="Calibri" w:hAnsi="Calibri"/>
          <w:b/>
          <w:color w:val="2D3748"/>
          <w:sz w:val="20"/>
        </w:rPr>
        <w:t xml:space="preserve">FR-02 (Student Profile Management): </w:t>
      </w:r>
      <w:r>
        <w:rPr>
          <w:rFonts w:ascii="Calibri" w:hAnsi="Calibri"/>
          <w:color w:val="2D3748"/>
          <w:sz w:val="20"/>
        </w:rPr>
        <w:t>Students shall manage profiles declaring technical competencies, proficiency levels, preferred project roles, and research domains.</w:t>
      </w:r>
    </w:p>
    <w:p>
      <w:pPr>
        <w:pStyle w:val="ListBullet"/>
        <w:spacing w:after="60" w:line="276" w:lineRule="auto"/>
      </w:pPr>
      <w:r>
        <w:rPr>
          <w:rFonts w:ascii="Calibri" w:hAnsi="Calibri"/>
          <w:b/>
          <w:color w:val="2D3748"/>
          <w:sz w:val="20"/>
        </w:rPr>
        <w:t xml:space="preserve">FR-03 (Topic Creation &amp; Catalog): </w:t>
      </w:r>
      <w:r>
        <w:rPr>
          <w:rFonts w:ascii="Calibri" w:hAnsi="Calibri"/>
          <w:color w:val="2D3748"/>
          <w:sz w:val="20"/>
        </w:rPr>
        <w:t>Supervisors shall propose diploma topics defining title, problem scope, maximum team capacity, and required prerequisite skill tags.</w:t>
      </w:r>
    </w:p>
    <w:p>
      <w:pPr>
        <w:pStyle w:val="ListBullet"/>
        <w:spacing w:after="60" w:line="276" w:lineRule="auto"/>
      </w:pPr>
      <w:r>
        <w:rPr>
          <w:rFonts w:ascii="Calibri" w:hAnsi="Calibri"/>
          <w:b/>
          <w:color w:val="2D3748"/>
          <w:sz w:val="20"/>
        </w:rPr>
        <w:t xml:space="preserve">FR-04 (Topic Recommendation Engine): </w:t>
      </w:r>
      <w:r>
        <w:rPr>
          <w:rFonts w:ascii="Calibri" w:hAnsi="Calibri"/>
          <w:color w:val="2D3748"/>
          <w:sz w:val="20"/>
        </w:rPr>
        <w:t>The system shall compute and display a ranked list of recommended topics based on alignment with candidate skill vectors.</w:t>
      </w:r>
    </w:p>
    <w:p>
      <w:pPr>
        <w:pStyle w:val="ListBullet"/>
        <w:spacing w:after="60" w:line="276" w:lineRule="auto"/>
      </w:pPr>
      <w:r>
        <w:rPr>
          <w:rFonts w:ascii="Calibri" w:hAnsi="Calibri"/>
          <w:b/>
          <w:color w:val="2D3748"/>
          <w:sz w:val="20"/>
        </w:rPr>
        <w:t xml:space="preserve">FR-05 (Teammate Matching Engine): </w:t>
      </w:r>
      <w:r>
        <w:rPr>
          <w:rFonts w:ascii="Calibri" w:hAnsi="Calibri"/>
          <w:color w:val="2D3748"/>
          <w:sz w:val="20"/>
        </w:rPr>
        <w:t>Solo students shall receive peer suggestions with complementary, non-overlapping skill sets to ensure balanced role coverage.</w:t>
      </w:r>
    </w:p>
    <w:p>
      <w:pPr>
        <w:pStyle w:val="ListBullet"/>
        <w:spacing w:after="60" w:line="276" w:lineRule="auto"/>
      </w:pPr>
      <w:r>
        <w:rPr>
          <w:rFonts w:ascii="Calibri" w:hAnsi="Calibri"/>
          <w:b/>
          <w:color w:val="2D3748"/>
          <w:sz w:val="20"/>
        </w:rPr>
        <w:t xml:space="preserve">FR-06 (Team Formation Workflow): </w:t>
      </w:r>
      <w:r>
        <w:rPr>
          <w:rFonts w:ascii="Calibri" w:hAnsi="Calibri"/>
          <w:color w:val="2D3748"/>
          <w:sz w:val="20"/>
        </w:rPr>
        <w:t>Students shall create teams, issue invitations to peers, and accept/decline membership requests.</w:t>
      </w:r>
    </w:p>
    <w:p>
      <w:pPr>
        <w:pStyle w:val="ListBullet"/>
        <w:spacing w:after="60" w:line="276" w:lineRule="auto"/>
      </w:pPr>
      <w:r>
        <w:rPr>
          <w:rFonts w:ascii="Calibri" w:hAnsi="Calibri"/>
          <w:b/>
          <w:color w:val="2D3748"/>
          <w:sz w:val="20"/>
        </w:rPr>
        <w:t xml:space="preserve">FR-07 (Topic Application &amp; Approval): </w:t>
      </w:r>
      <w:r>
        <w:rPr>
          <w:rFonts w:ascii="Calibri" w:hAnsi="Calibri"/>
          <w:color w:val="2D3748"/>
          <w:sz w:val="20"/>
        </w:rPr>
        <w:t>Formed teams shall submit project applications to supervisors, who can approve or reject them with feedback.</w:t>
      </w:r>
    </w:p>
    <w:p>
      <w:pPr>
        <w:pStyle w:val="ListBullet"/>
        <w:spacing w:after="60" w:line="276" w:lineRule="auto"/>
      </w:pPr>
      <w:r>
        <w:rPr>
          <w:rFonts w:ascii="Calibri" w:hAnsi="Calibri"/>
          <w:b/>
          <w:color w:val="2D3748"/>
          <w:sz w:val="20"/>
        </w:rPr>
        <w:t xml:space="preserve">FR-08 (Department Quota Oversight): </w:t>
      </w:r>
      <w:r>
        <w:rPr>
          <w:rFonts w:ascii="Calibri" w:hAnsi="Calibri"/>
          <w:color w:val="2D3748"/>
          <w:sz w:val="20"/>
        </w:rPr>
        <w:t>Administrators shall set supervisor team limits and monitor cohort-wide topic distributions.</w:t>
      </w:r>
    </w:p>
    <w:p>
      <w:pPr>
        <w:keepNext/>
        <w:spacing w:before="240" w:after="80"/>
      </w:pPr>
      <w:r>
        <w:rPr>
          <w:rFonts w:ascii="Calibri" w:hAnsi="Calibri"/>
          <w:b/>
          <w:color w:val="3182CE"/>
          <w:sz w:val="24"/>
        </w:rPr>
        <w:t>Non-Functional Requirements</w:t>
      </w:r>
    </w:p>
    <w:p>
      <w:pPr>
        <w:pStyle w:val="ListBullet"/>
        <w:spacing w:after="60" w:line="276" w:lineRule="auto"/>
      </w:pPr>
      <w:r>
        <w:rPr>
          <w:rFonts w:ascii="Calibri" w:hAnsi="Calibri"/>
          <w:b/>
          <w:color w:val="2D3748"/>
          <w:sz w:val="20"/>
        </w:rPr>
        <w:t xml:space="preserve">NFR-01 (Security &amp; Authorization): </w:t>
      </w:r>
      <w:r>
        <w:rPr>
          <w:rFonts w:ascii="Calibri" w:hAnsi="Calibri"/>
          <w:color w:val="2D3748"/>
          <w:sz w:val="20"/>
        </w:rPr>
        <w:t>Unauthorized HTTP requests to protected endpoints shall return standard 401 Unauthorized or 403 Forbidden statuses.</w:t>
      </w:r>
    </w:p>
    <w:p>
      <w:pPr>
        <w:pStyle w:val="ListBullet"/>
        <w:spacing w:after="60" w:line="276" w:lineRule="auto"/>
      </w:pPr>
      <w:r>
        <w:rPr>
          <w:rFonts w:ascii="Calibri" w:hAnsi="Calibri"/>
          <w:b/>
          <w:color w:val="2D3748"/>
          <w:sz w:val="20"/>
        </w:rPr>
        <w:t xml:space="preserve">NFR-02 (Performance &amp; Latency): </w:t>
      </w:r>
      <w:r>
        <w:rPr>
          <w:rFonts w:ascii="Calibri" w:hAnsi="Calibri"/>
          <w:color w:val="2D3748"/>
          <w:sz w:val="20"/>
        </w:rPr>
        <w:t>Matching score calculations for a pool of up to 500 candidate profiles shall execute in under 3.0 seconds.</w:t>
      </w:r>
    </w:p>
    <w:p>
      <w:pPr>
        <w:pStyle w:val="ListBullet"/>
        <w:spacing w:after="60" w:line="276" w:lineRule="auto"/>
      </w:pPr>
      <w:r>
        <w:rPr>
          <w:rFonts w:ascii="Calibri" w:hAnsi="Calibri"/>
          <w:b/>
          <w:color w:val="2D3748"/>
          <w:sz w:val="20"/>
        </w:rPr>
        <w:t xml:space="preserve">NFR-03 (Responsive Layout): </w:t>
      </w:r>
      <w:r>
        <w:rPr>
          <w:rFonts w:ascii="Calibri" w:hAnsi="Calibri"/>
          <w:color w:val="2D3748"/>
          <w:sz w:val="20"/>
        </w:rPr>
        <w:t>User interfaces shall adapt cleanly across viewport widths from 375 px (mobile) to 1440 px (desktop) without horizontal scrolling.</w:t>
      </w:r>
    </w:p>
    <w:p>
      <w:pPr>
        <w:pStyle w:val="ListBullet"/>
        <w:spacing w:after="60" w:line="276" w:lineRule="auto"/>
      </w:pPr>
      <w:r>
        <w:rPr>
          <w:rFonts w:ascii="Calibri" w:hAnsi="Calibri"/>
          <w:b/>
          <w:color w:val="2D3748"/>
          <w:sz w:val="20"/>
        </w:rPr>
        <w:t xml:space="preserve">NFR-04 (Algorithmic Explainability): </w:t>
      </w:r>
      <w:r>
        <w:rPr>
          <w:rFonts w:ascii="Calibri" w:hAnsi="Calibri"/>
          <w:color w:val="2D3748"/>
          <w:sz w:val="20"/>
        </w:rPr>
        <w:t>All recommendations shall display explicit contextual criteria indicating why a topic or peer was suggested.</w:t>
      </w:r>
    </w:p>
    <w:p>
      <w:pPr>
        <w:keepNext/>
        <w:spacing w:before="320" w:after="120"/>
      </w:pPr>
      <w:r>
        <w:rPr>
          <w:rFonts w:ascii="Calibri" w:hAnsi="Calibri"/>
          <w:b/>
          <w:color w:val="1A365D"/>
          <w:sz w:val="30"/>
        </w:rPr>
        <w:t>7. System Architecture Overview</w:t>
      </w:r>
    </w:p>
    <w:p>
      <w:pPr>
        <w:spacing w:after="120" w:line="276" w:lineRule="auto"/>
      </w:pPr>
      <w:r>
        <w:rPr>
          <w:rFonts w:ascii="Calibri" w:hAnsi="Calibri"/>
          <w:color w:val="2D3748"/>
          <w:sz w:val="20"/>
        </w:rPr>
        <w:t>The system is designed following a modular client-server architectural pattern. The client layer (React.js) interacts with the backend services via structured REST APIs. The application layer (FastAPI) incorporates an authentication service, profile manager, topic catalog, and the intelligent matching engine. Persistence is handled by PostgreSQL via an asynchronous ORM (SQLAlchemy).</w:t>
      </w:r>
    </w:p>
    <w:p>
      <w:pPr>
        <w:spacing w:after="160" w:line="240" w:lineRule="auto"/>
      </w:pPr>
      <w:r>
        <w:rPr>
          <w:rFonts w:ascii="Consolas" w:hAnsi="Consolas"/>
          <w:color w:val="1A365D"/>
          <w:sz w:val="16"/>
        </w:rPr>
        <w:t>+-------------------------------------------------------------+</w:t>
        <w:br/>
        <w:t>|                        Client Layer                         |</w:t>
        <w:br/>
        <w:t>|  [Student Dashboard]   [Supervisor Portal]   [Admin Console] |</w:t>
        <w:br/>
        <w:t>|              (React.js + Tailwind CSS + Axios)              |</w:t>
        <w:br/>
        <w:t>+------------------------------+------------------------------+</w:t>
        <w:br/>
        <w:t xml:space="preserve">                               | HTTPS / REST API</w:t>
        <w:br/>
        <w:t>+------------------------------v------------------------------+</w:t>
        <w:br/>
        <w:t>|                      Application Layer                      |</w:t>
        <w:br/>
        <w:t>|                      (FastAPI Backend)                      |</w:t>
        <w:br/>
        <w:t>|  +--------------------+  +-------------------------------+  |</w:t>
        <w:br/>
        <w:t>|  | Auth &amp; RBAC Module |  | Topic Catalog Service         |  |</w:t>
        <w:br/>
        <w:t>|  +--------------------+  +-------------------------------+  |</w:t>
        <w:br/>
        <w:t>|  +--------------------+  +-------------------------------+  |</w:t>
        <w:br/>
        <w:t>|  | Profile Service    |  | Team Workflow Service         |  |</w:t>
        <w:br/>
        <w:t>|  +--------------------+  +-------------------------------+  |</w:t>
        <w:br/>
        <w:t>|  +-------------------------------------------------------+  |</w:t>
        <w:br/>
        <w:t>|  |           Intelligent Multi-Criteria Engine           |  |</w:t>
        <w:br/>
        <w:t>|  |   - Weighted Role Balancing  - Cosine Skill Vector    |  |</w:t>
        <w:br/>
        <w:t>|  +-------------------------------------------------------+  |</w:t>
        <w:br/>
        <w:t>+------------------------------+------------------------------+</w:t>
        <w:br/>
        <w:t xml:space="preserve">                               | ORM (SQLAlchemy)</w:t>
        <w:br/>
        <w:t>+------------------------------v------------------------------+</w:t>
        <w:br/>
        <w:t>|                         Data Layer                          |</w:t>
        <w:br/>
        <w:t>|             (PostgreSQL Relational Database)                |</w:t>
        <w:br/>
        <w:t>|  [Users &amp; Roles]  [Skills Matrix]  [Topics]  [Applications] |</w:t>
        <w:br/>
        <w:t>+-------------------------------------------------------------+</w:t>
      </w:r>
    </w:p>
    <w:p>
      <w:pPr>
        <w:keepNext/>
        <w:spacing w:before="320" w:after="120"/>
      </w:pPr>
      <w:r>
        <w:rPr>
          <w:rFonts w:ascii="Calibri" w:hAnsi="Calibri"/>
          <w:b/>
          <w:color w:val="1A365D"/>
          <w:sz w:val="30"/>
        </w:rPr>
        <w:t>8. Verification and Evaluation Plan</w:t>
      </w:r>
    </w:p>
    <w:p>
      <w:pPr>
        <w:spacing w:after="80" w:line="276" w:lineRule="auto"/>
      </w:pPr>
      <w:r>
        <w:rPr>
          <w:rFonts w:ascii="Calibri" w:hAnsi="Calibri"/>
          <w:color w:val="2D3748"/>
          <w:sz w:val="20"/>
        </w:rPr>
        <w:t>The project evaluation combines technical testing, algorithmic benchmarking, and end-to-end acceptance validation:</w:t>
      </w:r>
    </w:p>
    <w:p>
      <w:pPr>
        <w:pStyle w:val="ListBullet"/>
        <w:spacing w:after="60" w:line="276" w:lineRule="auto"/>
      </w:pPr>
      <w:r>
        <w:rPr>
          <w:rFonts w:ascii="Calibri" w:hAnsi="Calibri"/>
          <w:b/>
          <w:color w:val="2D3748"/>
          <w:sz w:val="20"/>
        </w:rPr>
        <w:t xml:space="preserve">1. Algorithmic Benchmarking: </w:t>
      </w:r>
      <w:r>
        <w:rPr>
          <w:rFonts w:ascii="Calibri" w:hAnsi="Calibri"/>
          <w:color w:val="2D3748"/>
          <w:sz w:val="20"/>
        </w:rPr>
        <w:t>Verify the multi-criteria matching engine against synthetic student cohorts with varied skill distributions, measuring unassigned rates, execution latency, and role coverage (e.g., verifying formed teams contain both Frontend and Backend roles).</w:t>
      </w:r>
    </w:p>
    <w:p>
      <w:pPr>
        <w:pStyle w:val="ListBullet"/>
        <w:spacing w:after="60" w:line="276" w:lineRule="auto"/>
      </w:pPr>
      <w:r>
        <w:rPr>
          <w:rFonts w:ascii="Calibri" w:hAnsi="Calibri"/>
          <w:b/>
          <w:color w:val="2D3748"/>
          <w:sz w:val="20"/>
        </w:rPr>
        <w:t xml:space="preserve">2. Automated API Verification: </w:t>
      </w:r>
      <w:r>
        <w:rPr>
          <w:rFonts w:ascii="Calibri" w:hAnsi="Calibri"/>
          <w:color w:val="2D3748"/>
          <w:sz w:val="20"/>
        </w:rPr>
        <w:t>Automated API integration test suites verifying HTTP status codes, payload validations, and security isolation across all RBAC roles.</w:t>
      </w:r>
    </w:p>
    <w:p>
      <w:pPr>
        <w:pStyle w:val="ListBullet"/>
        <w:spacing w:after="60" w:line="276" w:lineRule="auto"/>
      </w:pPr>
      <w:r>
        <w:rPr>
          <w:rFonts w:ascii="Calibri" w:hAnsi="Calibri"/>
          <w:b/>
          <w:color w:val="2D3748"/>
          <w:sz w:val="20"/>
        </w:rPr>
        <w:t xml:space="preserve">3. Usability &amp; Acceptance Testing: </w:t>
      </w:r>
      <w:r>
        <w:rPr>
          <w:rFonts w:ascii="Calibri" w:hAnsi="Calibri"/>
          <w:color w:val="2D3748"/>
          <w:sz w:val="20"/>
        </w:rPr>
        <w:t>Structured task walkthroughs with graduating students testing profile creation, topic discovery, and invitation confirmation, evaluated via the System Usability Scale (SUS).</w:t>
      </w:r>
    </w:p>
    <w:p>
      <w:pPr>
        <w:keepNext/>
        <w:spacing w:before="320" w:after="120"/>
      </w:pPr>
      <w:r>
        <w:rPr>
          <w:rFonts w:ascii="Calibri" w:hAnsi="Calibri"/>
          <w:b/>
          <w:color w:val="1A365D"/>
          <w:sz w:val="30"/>
        </w:rPr>
        <w:t>9. Project Management &amp; Risk Mitigation</w:t>
      </w:r>
    </w:p>
    <w:p>
      <w:pPr>
        <w:keepNext/>
        <w:spacing w:before="240" w:after="80"/>
      </w:pPr>
      <w:r>
        <w:rPr>
          <w:rFonts w:ascii="Calibri" w:hAnsi="Calibri"/>
          <w:b/>
          <w:color w:val="3182CE"/>
          <w:sz w:val="24"/>
        </w:rPr>
        <w:t>Team Work Breakdown</w:t>
      </w:r>
    </w:p>
    <w:p>
      <w:pPr>
        <w:pStyle w:val="ListBullet"/>
        <w:spacing w:after="60" w:line="276" w:lineRule="auto"/>
      </w:pPr>
      <w:r>
        <w:rPr>
          <w:rFonts w:ascii="Calibri" w:hAnsi="Calibri"/>
          <w:b/>
          <w:color w:val="2D3748"/>
          <w:sz w:val="20"/>
        </w:rPr>
        <w:t xml:space="preserve">Nurdan Zhanabayev (SE-2402): </w:t>
      </w:r>
      <w:r>
        <w:rPr>
          <w:rFonts w:ascii="Calibri" w:hAnsi="Calibri"/>
          <w:color w:val="2D3748"/>
          <w:sz w:val="20"/>
        </w:rPr>
        <w:t>System Architecture, Relational Database Modeling, API Development (FastAPI), Multi-Criteria Matching Engine, Containerization, and Backend Verification.</w:t>
      </w:r>
    </w:p>
    <w:p>
      <w:pPr>
        <w:pStyle w:val="ListBullet"/>
        <w:spacing w:after="60" w:line="276" w:lineRule="auto"/>
      </w:pPr>
      <w:r>
        <w:rPr>
          <w:rFonts w:ascii="Calibri" w:hAnsi="Calibri"/>
          <w:b/>
          <w:color w:val="2D3748"/>
          <w:sz w:val="20"/>
        </w:rPr>
        <w:t xml:space="preserve">Yerasyl Gaziz (SE-2411): </w:t>
      </w:r>
      <w:r>
        <w:rPr>
          <w:rFonts w:ascii="Calibri" w:hAnsi="Calibri"/>
          <w:color w:val="2D3748"/>
          <w:sz w:val="20"/>
        </w:rPr>
        <w:t>UI/UX Prototyping, Client-Side Application Development (React), API Client Integration, Responsive Layouts, Client Validation, and Usability Testing.</w:t>
      </w:r>
    </w:p>
    <w:p>
      <w:pPr>
        <w:keepNext/>
        <w:spacing w:before="240" w:after="80"/>
      </w:pPr>
      <w:r>
        <w:rPr>
          <w:rFonts w:ascii="Calibri" w:hAnsi="Calibri"/>
          <w:b/>
          <w:color w:val="3182CE"/>
          <w:sz w:val="24"/>
        </w:rPr>
        <w:t>Risk Analysis &amp; Mitigation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100" w:type="dxa"/>
              <w:right w:w="100" w:type="dxa"/>
            </w:tcMar>
          </w:tcPr>
          <w:p>
            <w:r>
              <w:rPr>
                <w:rFonts w:ascii="Calibri" w:hAnsi="Calibri"/>
                <w:b/>
                <w:color w:val="FFFFFF"/>
                <w:sz w:val="17"/>
              </w:rPr>
              <w:t>Identified Risk</w:t>
            </w:r>
          </w:p>
        </w:tc>
        <w:tc>
          <w:tcPr>
            <w:tcW w:type="dxa" w:w="1440"/>
            <w:shd w:fill="1A365D"/>
            <w:tcMar>
              <w:top w:w="100" w:type="dxa"/>
              <w:bottom w:w="100" w:type="dxa"/>
              <w:left w:w="100" w:type="dxa"/>
              <w:right w:w="100" w:type="dxa"/>
            </w:tcMar>
          </w:tcPr>
          <w:p>
            <w:r>
              <w:rPr>
                <w:rFonts w:ascii="Calibri" w:hAnsi="Calibri"/>
                <w:b/>
                <w:color w:val="FFFFFF"/>
                <w:sz w:val="17"/>
              </w:rPr>
              <w:t>Likelihood</w:t>
            </w:r>
          </w:p>
        </w:tc>
        <w:tc>
          <w:tcPr>
            <w:tcW w:type="dxa" w:w="1440"/>
            <w:shd w:fill="1A365D"/>
            <w:tcMar>
              <w:top w:w="100" w:type="dxa"/>
              <w:bottom w:w="100" w:type="dxa"/>
              <w:left w:w="100" w:type="dxa"/>
              <w:right w:w="100" w:type="dxa"/>
            </w:tcMar>
          </w:tcPr>
          <w:p>
            <w:r>
              <w:rPr>
                <w:rFonts w:ascii="Calibri" w:hAnsi="Calibri"/>
                <w:b/>
                <w:color w:val="FFFFFF"/>
                <w:sz w:val="17"/>
              </w:rPr>
              <w:t>Impact</w:t>
            </w:r>
          </w:p>
        </w:tc>
        <w:tc>
          <w:tcPr>
            <w:tcW w:type="dxa" w:w="3888"/>
            <w:shd w:fill="1A365D"/>
            <w:tcMar>
              <w:top w:w="100" w:type="dxa"/>
              <w:bottom w:w="100" w:type="dxa"/>
              <w:left w:w="100" w:type="dxa"/>
              <w:right w:w="100" w:type="dxa"/>
            </w:tcMar>
          </w:tcPr>
          <w:p>
            <w:r>
              <w:rPr>
                <w:rFonts w:ascii="Calibri" w:hAnsi="Calibri"/>
                <w:b/>
                <w:color w:val="FFFFFF"/>
                <w:sz w:val="17"/>
              </w:rPr>
              <w:t>Mitigation Strategy</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Low student survey response rate</w:t>
            </w:r>
          </w:p>
        </w:tc>
        <w:tc>
          <w:tcPr>
            <w:tcW w:type="dxa" w:w="1440"/>
            <w:shd w:fill="FFFFFF"/>
            <w:tcMar>
              <w:top w:w="80" w:type="dxa"/>
              <w:bottom w:w="80" w:type="dxa"/>
              <w:left w:w="100" w:type="dxa"/>
              <w:right w:w="100" w:type="dxa"/>
            </w:tcMar>
          </w:tcPr>
          <w:p>
            <w:pPr>
              <w:spacing w:line="252" w:lineRule="auto"/>
            </w:pPr>
            <w:r>
              <w:rPr>
                <w:rFonts w:ascii="Calibri" w:hAnsi="Calibri"/>
                <w:color w:val="2D3748"/>
                <w:sz w:val="16"/>
              </w:rPr>
              <w:t>Medium</w:t>
            </w:r>
          </w:p>
        </w:tc>
        <w:tc>
          <w:tcPr>
            <w:tcW w:type="dxa" w:w="1440"/>
            <w:shd w:fill="FFFFFF"/>
            <w:tcMar>
              <w:top w:w="80" w:type="dxa"/>
              <w:bottom w:w="80" w:type="dxa"/>
              <w:left w:w="100" w:type="dxa"/>
              <w:right w:w="100" w:type="dxa"/>
            </w:tcMar>
          </w:tcPr>
          <w:p>
            <w:pPr>
              <w:spacing w:line="252" w:lineRule="auto"/>
            </w:pPr>
            <w:r>
              <w:rPr>
                <w:rFonts w:ascii="Calibri" w:hAnsi="Calibri"/>
                <w:color w:val="2D3748"/>
                <w:sz w:val="16"/>
              </w:rPr>
              <w:t>Medium</w:t>
            </w:r>
          </w:p>
        </w:tc>
        <w:tc>
          <w:tcPr>
            <w:tcW w:type="dxa" w:w="3888"/>
            <w:shd w:fill="FFFFFF"/>
            <w:tcMar>
              <w:top w:w="80" w:type="dxa"/>
              <w:bottom w:w="80" w:type="dxa"/>
              <w:left w:w="100" w:type="dxa"/>
              <w:right w:w="100" w:type="dxa"/>
            </w:tcMar>
          </w:tcPr>
          <w:p>
            <w:pPr>
              <w:spacing w:line="252" w:lineRule="auto"/>
            </w:pPr>
            <w:r>
              <w:rPr>
                <w:rFonts w:ascii="Calibri" w:hAnsi="Calibri"/>
                <w:color w:val="2D3748"/>
                <w:sz w:val="16"/>
              </w:rPr>
              <w:t>Distribute survey through official university department groups and student council channels.</w:t>
            </w:r>
          </w:p>
        </w:tc>
      </w:tr>
      <w:tr>
        <w:tc>
          <w:tcPr>
            <w:tcW w:type="dxa" w:w="2592"/>
            <w:shd w:fill="F8FAFC"/>
            <w:tcMar>
              <w:top w:w="80" w:type="dxa"/>
              <w:bottom w:w="80" w:type="dxa"/>
              <w:left w:w="100" w:type="dxa"/>
              <w:right w:w="100" w:type="dxa"/>
            </w:tcMar>
          </w:tcPr>
          <w:p>
            <w:pPr>
              <w:spacing w:line="252" w:lineRule="auto"/>
            </w:pPr>
            <w:r>
              <w:rPr>
                <w:rFonts w:ascii="Calibri" w:hAnsi="Calibri"/>
                <w:color w:val="2D3748"/>
                <w:sz w:val="16"/>
              </w:rPr>
              <w:t>Infeasible matching constraints (severe role shortages)</w:t>
            </w:r>
          </w:p>
        </w:tc>
        <w:tc>
          <w:tcPr>
            <w:tcW w:type="dxa" w:w="1440"/>
            <w:shd w:fill="F8FAFC"/>
            <w:tcMar>
              <w:top w:w="80" w:type="dxa"/>
              <w:bottom w:w="80" w:type="dxa"/>
              <w:left w:w="100" w:type="dxa"/>
              <w:right w:w="100" w:type="dxa"/>
            </w:tcMar>
          </w:tcPr>
          <w:p>
            <w:pPr>
              <w:spacing w:line="252" w:lineRule="auto"/>
            </w:pPr>
            <w:r>
              <w:rPr>
                <w:rFonts w:ascii="Calibri" w:hAnsi="Calibri"/>
                <w:color w:val="2D3748"/>
                <w:sz w:val="16"/>
              </w:rPr>
              <w:t>Medium</w:t>
            </w:r>
          </w:p>
        </w:tc>
        <w:tc>
          <w:tcPr>
            <w:tcW w:type="dxa" w:w="1440"/>
            <w:shd w:fill="F8FAFC"/>
            <w:tcMar>
              <w:top w:w="80" w:type="dxa"/>
              <w:bottom w:w="80" w:type="dxa"/>
              <w:left w:w="100" w:type="dxa"/>
              <w:right w:w="100" w:type="dxa"/>
            </w:tcMar>
          </w:tcPr>
          <w:p>
            <w:pPr>
              <w:spacing w:line="252" w:lineRule="auto"/>
            </w:pPr>
            <w:r>
              <w:rPr>
                <w:rFonts w:ascii="Calibri" w:hAnsi="Calibri"/>
                <w:color w:val="2D3748"/>
                <w:sz w:val="16"/>
              </w:rPr>
              <w:t>High</w:t>
            </w:r>
          </w:p>
        </w:tc>
        <w:tc>
          <w:tcPr>
            <w:tcW w:type="dxa" w:w="3888"/>
            <w:shd w:fill="F8FAFC"/>
            <w:tcMar>
              <w:top w:w="80" w:type="dxa"/>
              <w:bottom w:w="80" w:type="dxa"/>
              <w:left w:w="100" w:type="dxa"/>
              <w:right w:w="100" w:type="dxa"/>
            </w:tcMar>
          </w:tcPr>
          <w:p>
            <w:pPr>
              <w:spacing w:line="252" w:lineRule="auto"/>
            </w:pPr>
            <w:r>
              <w:rPr>
                <w:rFonts w:ascii="Calibri" w:hAnsi="Calibri"/>
                <w:color w:val="2D3748"/>
                <w:sz w:val="16"/>
              </w:rPr>
              <w:t>Implement flexible fallback thresholds and provide explicit warning notifications instead of silent failures.</w:t>
            </w:r>
          </w:p>
        </w:tc>
      </w:tr>
      <w:tr>
        <w:tc>
          <w:tcPr>
            <w:tcW w:type="dxa" w:w="2592"/>
            <w:shd w:fill="FFFFFF"/>
            <w:tcMar>
              <w:top w:w="80" w:type="dxa"/>
              <w:bottom w:w="80" w:type="dxa"/>
              <w:left w:w="100" w:type="dxa"/>
              <w:right w:w="100" w:type="dxa"/>
            </w:tcMar>
          </w:tcPr>
          <w:p>
            <w:pPr>
              <w:spacing w:line="252" w:lineRule="auto"/>
            </w:pPr>
            <w:r>
              <w:rPr>
                <w:rFonts w:ascii="Calibri" w:hAnsi="Calibri"/>
                <w:color w:val="2D3748"/>
                <w:sz w:val="16"/>
              </w:rPr>
              <w:t>Supervisor capacity bottlenecks</w:t>
            </w:r>
          </w:p>
        </w:tc>
        <w:tc>
          <w:tcPr>
            <w:tcW w:type="dxa" w:w="1440"/>
            <w:shd w:fill="FFFFFF"/>
            <w:tcMar>
              <w:top w:w="80" w:type="dxa"/>
              <w:bottom w:w="80" w:type="dxa"/>
              <w:left w:w="100" w:type="dxa"/>
              <w:right w:w="100" w:type="dxa"/>
            </w:tcMar>
          </w:tcPr>
          <w:p>
            <w:pPr>
              <w:spacing w:line="252" w:lineRule="auto"/>
            </w:pPr>
            <w:r>
              <w:rPr>
                <w:rFonts w:ascii="Calibri" w:hAnsi="Calibri"/>
                <w:color w:val="2D3748"/>
                <w:sz w:val="16"/>
              </w:rPr>
              <w:t>High</w:t>
            </w:r>
          </w:p>
        </w:tc>
        <w:tc>
          <w:tcPr>
            <w:tcW w:type="dxa" w:w="1440"/>
            <w:shd w:fill="FFFFFF"/>
            <w:tcMar>
              <w:top w:w="80" w:type="dxa"/>
              <w:bottom w:w="80" w:type="dxa"/>
              <w:left w:w="100" w:type="dxa"/>
              <w:right w:w="100" w:type="dxa"/>
            </w:tcMar>
          </w:tcPr>
          <w:p>
            <w:pPr>
              <w:spacing w:line="252" w:lineRule="auto"/>
            </w:pPr>
            <w:r>
              <w:rPr>
                <w:rFonts w:ascii="Calibri" w:hAnsi="Calibri"/>
                <w:color w:val="2D3748"/>
                <w:sz w:val="16"/>
              </w:rPr>
              <w:t>High</w:t>
            </w:r>
          </w:p>
        </w:tc>
        <w:tc>
          <w:tcPr>
            <w:tcW w:type="dxa" w:w="3888"/>
            <w:shd w:fill="FFFFFF"/>
            <w:tcMar>
              <w:top w:w="80" w:type="dxa"/>
              <w:bottom w:w="80" w:type="dxa"/>
              <w:left w:w="100" w:type="dxa"/>
              <w:right w:w="100" w:type="dxa"/>
            </w:tcMar>
          </w:tcPr>
          <w:p>
            <w:pPr>
              <w:spacing w:line="252" w:lineRule="auto"/>
            </w:pPr>
            <w:r>
              <w:rPr>
                <w:rFonts w:ascii="Calibri" w:hAnsi="Calibri"/>
                <w:color w:val="2D3748"/>
                <w:sz w:val="16"/>
              </w:rPr>
              <w:t>Enforce strict ceiling limits on applicant team numbers per supervisor at the API level.</w:t>
            </w:r>
          </w:p>
        </w:tc>
      </w:tr>
      <w:tr>
        <w:tc>
          <w:tcPr>
            <w:tcW w:type="dxa" w:w="2592"/>
            <w:shd w:fill="F8FAFC"/>
            <w:tcMar>
              <w:top w:w="80" w:type="dxa"/>
              <w:bottom w:w="80" w:type="dxa"/>
              <w:left w:w="100" w:type="dxa"/>
              <w:right w:w="100" w:type="dxa"/>
            </w:tcMar>
          </w:tcPr>
          <w:p>
            <w:pPr>
              <w:spacing w:line="252" w:lineRule="auto"/>
            </w:pPr>
            <w:r>
              <w:rPr>
                <w:rFonts w:ascii="Calibri" w:hAnsi="Calibri"/>
                <w:color w:val="2D3748"/>
                <w:sz w:val="16"/>
              </w:rPr>
              <w:t>Implementation scope creep</w:t>
            </w:r>
          </w:p>
        </w:tc>
        <w:tc>
          <w:tcPr>
            <w:tcW w:type="dxa" w:w="1440"/>
            <w:shd w:fill="F8FAFC"/>
            <w:tcMar>
              <w:top w:w="80" w:type="dxa"/>
              <w:bottom w:w="80" w:type="dxa"/>
              <w:left w:w="100" w:type="dxa"/>
              <w:right w:w="100" w:type="dxa"/>
            </w:tcMar>
          </w:tcPr>
          <w:p>
            <w:pPr>
              <w:spacing w:line="252" w:lineRule="auto"/>
            </w:pPr>
            <w:r>
              <w:rPr>
                <w:rFonts w:ascii="Calibri" w:hAnsi="Calibri"/>
                <w:color w:val="2D3748"/>
                <w:sz w:val="16"/>
              </w:rPr>
              <w:t>High</w:t>
            </w:r>
          </w:p>
        </w:tc>
        <w:tc>
          <w:tcPr>
            <w:tcW w:type="dxa" w:w="1440"/>
            <w:shd w:fill="F8FAFC"/>
            <w:tcMar>
              <w:top w:w="80" w:type="dxa"/>
              <w:bottom w:w="80" w:type="dxa"/>
              <w:left w:w="100" w:type="dxa"/>
              <w:right w:w="100" w:type="dxa"/>
            </w:tcMar>
          </w:tcPr>
          <w:p>
            <w:pPr>
              <w:spacing w:line="252" w:lineRule="auto"/>
            </w:pPr>
            <w:r>
              <w:rPr>
                <w:rFonts w:ascii="Calibri" w:hAnsi="Calibri"/>
                <w:color w:val="2D3748"/>
                <w:sz w:val="16"/>
              </w:rPr>
              <w:t>Medium</w:t>
            </w:r>
          </w:p>
        </w:tc>
        <w:tc>
          <w:tcPr>
            <w:tcW w:type="dxa" w:w="3888"/>
            <w:shd w:fill="F8FAFC"/>
            <w:tcMar>
              <w:top w:w="80" w:type="dxa"/>
              <w:bottom w:w="80" w:type="dxa"/>
              <w:left w:w="100" w:type="dxa"/>
              <w:right w:w="100" w:type="dxa"/>
            </w:tcMar>
          </w:tcPr>
          <w:p>
            <w:pPr>
              <w:spacing w:line="252" w:lineRule="auto"/>
            </w:pPr>
            <w:r>
              <w:rPr>
                <w:rFonts w:ascii="Calibri" w:hAnsi="Calibri"/>
                <w:color w:val="2D3748"/>
                <w:sz w:val="16"/>
              </w:rPr>
              <w:t>Strictly prioritize core MVP functional requirements (FR-01 to FR-07) for Phase 1 release.</w:t>
            </w:r>
          </w:p>
        </w:tc>
      </w:tr>
    </w:tbl>
    <w:p>
      <w:pPr>
        <w:spacing w:after="160"/>
      </w:pPr>
    </w:p>
    <w:p>
      <w:pPr>
        <w:keepNext/>
        <w:spacing w:before="320" w:after="120"/>
      </w:pPr>
      <w:r>
        <w:rPr>
          <w:rFonts w:ascii="Calibri" w:hAnsi="Calibri"/>
          <w:b/>
          <w:color w:val="1A365D"/>
          <w:sz w:val="30"/>
        </w:rPr>
        <w:t>10. References</w:t>
      </w:r>
    </w:p>
    <w:p>
      <w:pPr>
        <w:spacing w:after="60" w:line="252" w:lineRule="auto"/>
        <w:ind w:left="576" w:hanging="576"/>
      </w:pPr>
      <w:r>
        <w:rPr>
          <w:rFonts w:ascii="Calibri" w:hAnsi="Calibri"/>
          <w:color w:val="2D3748"/>
          <w:sz w:val="16"/>
        </w:rPr>
        <w:t>Agarwal, J., Piatt, E., &amp; Imbrie, P. K. (2022). Team formation in engineering classrooms using multi-criteria optimization with genetic algorithms. 2022 IEEE Frontiers in Education Conference (FIE), 1–6. https://doi.org/10.1109/FIE56618.2022.9962741</w:t>
      </w:r>
    </w:p>
    <w:p>
      <w:pPr>
        <w:spacing w:after="60" w:line="252" w:lineRule="auto"/>
        <w:ind w:left="576" w:hanging="576"/>
      </w:pPr>
      <w:r>
        <w:rPr>
          <w:rFonts w:ascii="Calibri" w:hAnsi="Calibri"/>
          <w:color w:val="2D3748"/>
          <w:sz w:val="16"/>
        </w:rPr>
        <w:t>Forshaw, M., Alexandru, A., Bentley, C., González-Zelaya, V., et al. (2026). Fairness in Student Group Formation: Perspectives, Priorities, Compromises, Mechanisms, and Tooling. ITiCSE-WGR - Working Group Reports on Innovation and Technology in Computer Science Education, 217–276. https://doi.org/10.1145/3760545.3783973</w:t>
      </w:r>
    </w:p>
    <w:p>
      <w:pPr>
        <w:spacing w:after="60" w:line="252" w:lineRule="auto"/>
        <w:ind w:left="576" w:hanging="576"/>
      </w:pPr>
      <w:r>
        <w:rPr>
          <w:rFonts w:ascii="Calibri" w:hAnsi="Calibri"/>
          <w:color w:val="2D3748"/>
          <w:sz w:val="16"/>
        </w:rPr>
        <w:t>Gómez-Zará, D., Andreoli, S., Dechurch, L. A., &amp; Contractor, N. S. (2019). Discovering collaborators online: Assembling interdisciplinary teams online at an Argentinian University. Cuadernos.Info, (44), 21–41. https://doi.org/10.7764/cdi.44.1575</w:t>
      </w:r>
    </w:p>
    <w:p>
      <w:pPr>
        <w:spacing w:after="60" w:line="252" w:lineRule="auto"/>
        <w:ind w:left="576" w:hanging="576"/>
      </w:pPr>
      <w:r>
        <w:rPr>
          <w:rFonts w:ascii="Calibri" w:hAnsi="Calibri"/>
          <w:color w:val="2D3748"/>
          <w:sz w:val="16"/>
        </w:rPr>
        <w:t>Hastings, E. M., Ojha, V., Austriaco, B. V., Karahalios, K., &amp; Bailey, B. P. (2023). Composing team compositions: An examination of instructors’ current algorithmic team formation practices. Proceedings of the ACM on Human-Computer Interaction, 7(CSCW2), Article 305. https://doi.org/10.1145/3610096</w:t>
      </w:r>
    </w:p>
    <w:p>
      <w:pPr>
        <w:spacing w:after="60" w:line="252" w:lineRule="auto"/>
        <w:ind w:left="576" w:hanging="576"/>
      </w:pPr>
      <w:r>
        <w:rPr>
          <w:rFonts w:ascii="Calibri" w:hAnsi="Calibri"/>
          <w:color w:val="2D3748"/>
          <w:sz w:val="16"/>
        </w:rPr>
        <w:t>Jadhav, A. V., Masrouri, M., &amp; Qin, Z. (2026). ResearchConnect: An AI-Powered Platform for Interdisciplinary Research Team Formation and Ideation Development. Advanced Intelligent Systems, 8(5). https://doi.org/10.1002/aisy.202501399</w:t>
      </w:r>
    </w:p>
    <w:p>
      <w:pPr>
        <w:spacing w:after="60" w:line="252" w:lineRule="auto"/>
        <w:ind w:left="576" w:hanging="576"/>
      </w:pPr>
      <w:r>
        <w:rPr>
          <w:rFonts w:ascii="Calibri" w:hAnsi="Calibri"/>
          <w:color w:val="2D3748"/>
          <w:sz w:val="16"/>
        </w:rPr>
        <w:t>Kohli, S., Ramachandran, N., Tudor, A., Tumushabe, G., Hsu, O., &amp; Ranade, G. (2023). Inclusive study group formation at scale. Proceedings of the 54th ACM Technical Symposium on Computer Science Education, 1, 11–17. https://doi.org/10.1145/3545945.3569885</w:t>
      </w:r>
    </w:p>
    <w:p>
      <w:pPr>
        <w:spacing w:after="60" w:line="252" w:lineRule="auto"/>
        <w:ind w:left="576" w:hanging="576"/>
      </w:pPr>
      <w:r>
        <w:rPr>
          <w:rFonts w:ascii="Calibri" w:hAnsi="Calibri"/>
          <w:color w:val="2D3748"/>
          <w:sz w:val="16"/>
        </w:rPr>
        <w:t>Singh, P., Huynh, P. K., Nguyen, D., Le, T. Q., &amp; Moreno, W. (2025). Leveraging Multicriteria Integer Programming Optimization for Effective Team Formation. IEEE Transactions on Learning Technologies, 18, 72–84. https://doi.org/10.1109/TLT.2024.3401734</w:t>
      </w:r>
    </w:p>
    <w:p>
      <w:pPr>
        <w:spacing w:after="60" w:line="252" w:lineRule="auto"/>
        <w:ind w:left="576" w:hanging="576"/>
      </w:pPr>
      <w:r>
        <w:rPr>
          <w:rFonts w:ascii="Calibri" w:hAnsi="Calibri"/>
          <w:color w:val="2D3748"/>
          <w:sz w:val="16"/>
        </w:rPr>
        <w:t>Vinella, F. L., Hu, J., Lykourentzou, I., &amp; Masthoff, J. (2022). Crowdsourcing Team Formation With Worker-Centered Modeling. Frontiers in Artificial Intelligence, 5, Article 818562. https://doi.org/10.3389/frai.2022.818562</w:t>
      </w:r>
    </w:p>
    <w:p>
      <w:pPr>
        <w:spacing w:after="60" w:line="252" w:lineRule="auto"/>
        <w:ind w:left="576" w:hanging="576"/>
      </w:pPr>
      <w:r>
        <w:rPr>
          <w:rFonts w:ascii="Calibri" w:hAnsi="Calibri"/>
          <w:color w:val="2D3748"/>
          <w:sz w:val="16"/>
        </w:rPr>
        <w:t>Wu, Y., Mo, W., &amp; Liang, L. (2026). Reducing Intragroup Pressure in Heterogeneous Grouping for Collaborative Learning. Proceedings of the 3rd International Conference on Educational Digitalization and Computer Science, 1326–1331. https://doi.org/10.1145/3828183.3828386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