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EDGAR ORTEGO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1604 PEACOCK LN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SILVER SPRING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MD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20904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Edgar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