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GLICERA LACSON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175 CHALAN BINADU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YONA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Glicera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