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MARIA LEON GUERRERO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156 LSN TENORIO LN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DEDEDO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GU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96929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Maria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