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Performance Review Guidelines – 2025 H1</w:t>
      </w:r>
    </w:p>
    <w:p/>
    <w:p>
      <w:r>
        <w:t>Review Period</w:t>
      </w:r>
    </w:p>
    <w:p>
      <w:r>
        <w:t>- Twice per year</w:t>
      </w:r>
    </w:p>
    <w:p/>
    <w:p>
      <w:r>
        <w:t>Criteria</w:t>
      </w:r>
    </w:p>
    <w:p>
      <w:r>
        <w:t>- Goal Achievement</w:t>
      </w:r>
    </w:p>
    <w:p>
      <w:r>
        <w:t>- Collaboration</w:t>
      </w:r>
    </w:p>
    <w:p>
      <w:r>
        <w:t>- Technical Skills</w:t>
      </w:r>
    </w:p>
    <w:p>
      <w:r>
        <w:t>- Leadership Behavior</w:t>
      </w:r>
    </w:p>
    <w:p/>
    <w:p>
      <w:r>
        <w:t>Rating Scale</w:t>
      </w:r>
    </w:p>
    <w:p>
      <w:r>
        <w:t>1. Exceeds Expectations</w:t>
      </w:r>
    </w:p>
    <w:p>
      <w:r>
        <w:t>2. Meets Expectations</w:t>
      </w:r>
    </w:p>
    <w:p>
      <w:r>
        <w:t>3. Needs Improvement</w:t>
      </w:r>
    </w:p>
    <w:p/>
    <w:p>
      <w:r>
        <w:t>Improvement Plans</w:t>
      </w:r>
    </w:p>
    <w:p>
      <w:r>
        <w:t>- 60‑day PIP minimum</w:t>
      </w:r>
    </w:p>
    <w:p>
      <w:r>
        <w:t>- Weekly check-ins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