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  <w:gridCol w:w="1800"/>
      </w:tblGrid>
      <w:tr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0"/>
            </w:pPr>
            <w:r>
              <w:rPr>
                <w:b/>
                <w:bCs/>
                <w:color w:val="1A2230"/>
                <w:sz w:val="44"/>
                <w:szCs w:val="44"/>
              </w:rPr>
              <w:t xml:space="preserve">Nuruddinali (Nur) Dawoodani</w:t>
            </w:r>
          </w:p>
          <w:p>
            <w:pPr>
              <w:spacing w:after="5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Business Analyst | Bridging AI Technology &amp; Multi-Million-Dollar Business Outcomes</w:t>
            </w:r>
          </w:p>
          <w:p>
            <w:r>
              <w:rPr>
                <w:color w:val="5A6577"/>
                <w:sz w:val="17"/>
                <w:szCs w:val="17"/>
              </w:rPr>
              <w:t xml:space="preserve">nurrali786@gmail.com  |  +1 (236) 508-4786  |  linkedin.com/in/nur786  |  www.nuresu.me  |  Port Coquitlam, BC Canada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81915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E2E6EE" w:sz="6" w:space="2"/>
        </w:pBdr>
        <w:spacing w:after="110" w:before="60"/>
      </w:pPr>
    </w:p>
    <w:p>
      <w:pPr>
        <w:spacing w:after="60"/>
      </w:pPr>
      <w:r>
        <w:rPr>
          <w:color w:val="41505F"/>
          <w:sz w:val="19"/>
          <w:szCs w:val="19"/>
        </w:rPr>
        <w:t xml:space="preserve">Senior Business Analyst driving digital transformation across retail and financial services since 2005. Recently delivered a multi-million-dollar AI personalization initiative at lululemon and led an enterprise architecture revamp serving millions of guests. Expert at translating complex stakeholder needs into scalable technical solutions within Agile/SAFe frameworks, with a track record of zero-downtime migrations and measurable business impact.</w:t>
      </w:r>
    </w:p>
    <w:p>
      <w:pPr>
        <w:spacing w:after="120"/>
      </w:pPr>
    </w:p>
    <w:tbl>
      <w:tblPr>
        <w:tblW w:type="dxa" w:w="104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60"/>
        <w:gridCol w:w="5160"/>
      </w:tblGrid>
      <w:tr>
        <w:tc>
          <w:tcPr>
            <w:tcW w:type="dxa" w:w="5160"/>
            <w:tcBorders>
              <w:top w:val="none"/>
              <w:left w:val="none"/>
              <w:bottom w:val="none"/>
              <w:right w:val="none"/>
            </w:tcBorders>
            <w:tcMar>
              <w:right w:type="dxa" w:w="170"/>
            </w:tcMar>
            <w:vAlign w:val="top"/>
          </w:tcPr>
          <w:tbl>
            <w:tblPr>
              <w:tblW w:type="dxa" w:w="4820"/>
              <w:tblBorders>
                <w:top w:val="single" w:color="E2E6EE" w:sz="4"/>
                <w:left w:val="single" w:color="E2E6EE" w:sz="4"/>
                <w:bottom w:val="single" w:color="E2E6EE" w:sz="4"/>
                <w:right w:val="single" w:color="E2E6EE" w:sz="4"/>
                <w:insideH w:val="single" w:color="auto" w:sz="4"/>
                <w:insideV w:val="single" w:color="auto" w:sz="4"/>
              </w:tblBorders>
            </w:tblPr>
            <w:tblGrid>
              <w:gridCol w:w="4820"/>
            </w:tblGrid>
            <w:tr>
              <w:tc>
                <w:tcPr>
                  <w:tcW w:type="dxa" w:w="4820"/>
                  <w:shd w:fill="FBFCFE" w:color="auto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pBdr>
                      <w:bottom w:val="single" w:color="C0392B" w:sz="8" w:space="3"/>
                    </w:pBdr>
                    <w:spacing w:after="50"/>
                  </w:pPr>
                  <w:r>
                    <w:rPr>
                      <w:b/>
                      <w:bCs/>
                      <w:color w:val="C0392B"/>
                      <w:spacing w:val="16"/>
                      <w:sz w:val="18"/>
                      <w:szCs w:val="18"/>
                    </w:rPr>
                    <w:t xml:space="preserve">● KEY IMPACT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34"/>
                  </w:pPr>
                  <w:r>
                    <w:rPr>
                      <w:color w:val="41505F"/>
                      <w:sz w:val="17"/>
                      <w:szCs w:val="17"/>
                    </w:rPr>
                    <w:t xml:space="preserve">Multi-million-dollar revenue via AI product highlights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34"/>
                  </w:pPr>
                  <w:r>
                    <w:rPr>
                      <w:color w:val="41505F"/>
                      <w:sz w:val="17"/>
                      <w:szCs w:val="17"/>
                    </w:rPr>
                    <w:t xml:space="preserve">$500K+ annual savings from paperless banking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34"/>
                  </w:pPr>
                  <w:r>
                    <w:rPr>
                      <w:color w:val="41505F"/>
                      <w:sz w:val="17"/>
                      <w:szCs w:val="17"/>
                    </w:rPr>
                    <w:t xml:space="preserve">Enterprise architecture revamp — 40% faster page loads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34"/>
                  </w:pPr>
                  <w:r>
                    <w:rPr>
                      <w:color w:val="41505F"/>
                      <w:sz w:val="17"/>
                      <w:szCs w:val="17"/>
                    </w:rPr>
                    <w:t xml:space="preserve">Zero data loss on core banking migration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/>
              <w:left w:val="none"/>
              <w:bottom w:val="none"/>
              <w:right w:val="none"/>
            </w:tcBorders>
            <w:tcMar>
              <w:left w:type="dxa" w:w="170"/>
            </w:tcMar>
            <w:vAlign w:val="top"/>
          </w:tcPr>
          <w:tbl>
            <w:tblPr>
              <w:tblW w:type="dxa" w:w="4820"/>
              <w:tblBorders>
                <w:top w:val="single" w:color="E2E6EE" w:sz="4"/>
                <w:left w:val="single" w:color="E2E6EE" w:sz="4"/>
                <w:bottom w:val="single" w:color="E2E6EE" w:sz="4"/>
                <w:right w:val="single" w:color="E2E6EE" w:sz="4"/>
                <w:insideH w:val="single" w:color="auto" w:sz="4"/>
                <w:insideV w:val="single" w:color="auto" w:sz="4"/>
              </w:tblBorders>
            </w:tblPr>
            <w:tblGrid>
              <w:gridCol w:w="4820"/>
            </w:tblGrid>
            <w:tr>
              <w:tc>
                <w:tcPr>
                  <w:tcW w:type="dxa" w:w="4820"/>
                  <w:shd w:fill="FBFCFE" w:color="auto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pBdr>
                      <w:bottom w:val="single" w:color="C0392B" w:sz="8" w:space="3"/>
                    </w:pBdr>
                    <w:spacing w:after="50"/>
                  </w:pPr>
                  <w:r>
                    <w:rPr>
                      <w:b/>
                      <w:bCs/>
                      <w:color w:val="C0392B"/>
                      <w:spacing w:val="16"/>
                      <w:sz w:val="18"/>
                      <w:szCs w:val="18"/>
                    </w:rPr>
                    <w:t xml:space="preserve">● CORE SKILLS</w:t>
                  </w:r>
                </w:p>
                <w:p>
                  <w:pPr>
                    <w:spacing w:after="16" w:before="30"/>
                  </w:pPr>
                  <w:r>
                    <w:rPr>
                      <w:b/>
                      <w:bCs/>
                      <w:color w:val="1A2230"/>
                      <w:sz w:val="16"/>
                      <w:szCs w:val="16"/>
                    </w:rPr>
                    <w:t xml:space="preserve">Leadership &amp; Analysis</w:t>
                  </w:r>
                </w:p>
                <w:p>
                  <w:pPr>
                    <w:spacing w:after="20"/>
                  </w:pPr>
                  <w:r>
                    <w:rPr>
                      <w:color w:val="41505F"/>
                      <w:sz w:val="15"/>
                      <w:szCs w:val="15"/>
                    </w:rPr>
                    <w:t xml:space="preserve">BA Mentorship &amp; Team Leadership · Backlog Management &amp; Prioritization · Stakeholder Collaboration · Data Analysis · Business Process Improvement · Strategic Planning &amp; Roadmapping</w:t>
                  </w:r>
                </w:p>
                <w:p>
                  <w:pPr>
                    <w:spacing w:after="16" w:before="30"/>
                  </w:pPr>
                  <w:r>
                    <w:rPr>
                      <w:b/>
                      <w:bCs/>
                      <w:color w:val="1A2230"/>
                      <w:sz w:val="16"/>
                      <w:szCs w:val="16"/>
                    </w:rPr>
                    <w:t xml:space="preserve">Technical Tools</w:t>
                  </w:r>
                </w:p>
                <w:p>
                  <w:pPr>
                    <w:spacing w:after="20"/>
                  </w:pPr>
                  <w:r>
                    <w:rPr>
                      <w:color w:val="41505F"/>
                      <w:sz w:val="15"/>
                      <w:szCs w:val="15"/>
                    </w:rPr>
                    <w:t xml:space="preserve">JIRA - Advanced workflows &amp; reporting · Confluence - Documentation &amp; knowledge base · SQL - Complex queries &amp; optimization · Power Automate - Approval workflows &amp; flow automation · Microsoft 365 &amp; Power Platform · Microsoft Azure - Cloud platforms · Figma - Design collaboration</w:t>
                  </w:r>
                </w:p>
              </w:tc>
            </w:tr>
          </w:tbl>
          <w:p/>
        </w:tc>
      </w:tr>
    </w:tbl>
    <w:p>
      <w:pPr>
        <w:spacing w:after="160"/>
      </w:pPr>
    </w:p>
    <w:tbl>
      <w:tblPr>
        <w:tblW w:type="dxa" w:w="10440"/>
        <w:tblBorders>
          <w:top w:val="single" w:color="E2E6EE" w:sz="4"/>
          <w:left w:val="single" w:color="E2E6EE" w:sz="4"/>
          <w:bottom w:val="single" w:color="E2E6EE" w:sz="4"/>
          <w:right w:val="single" w:color="E2E6EE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FBFCF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pBdr>
                <w:bottom w:val="single" w:color="C0392B" w:sz="8" w:space="3"/>
              </w:pBdr>
              <w:spacing w:after="50"/>
            </w:pPr>
            <w:r>
              <w:rPr>
                <w:b/>
                <w:bCs/>
                <w:color w:val="C0392B"/>
                <w:spacing w:val="16"/>
                <w:sz w:val="18"/>
                <w:szCs w:val="18"/>
              </w:rPr>
              <w:t xml:space="preserve">● PROFESSIONAL EXPERIENCE</w:t>
            </w:r>
          </w:p>
          <w:p>
            <w:pPr>
              <w:tabs>
                <w:tab w:val="right" w:pos="10120"/>
              </w:tabs>
              <w:spacing w:after="6" w:before="100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Business Analyst —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Lululemon Athletica</w:t>
            </w:r>
            <w:r>
              <w:rPr>
                <w:color w:val="5A6577"/>
                <w:sz w:val="15"/>
                <w:szCs w:val="15"/>
              </w:rPr>
              <w:t xml:space="preserve">	03/2020 – Present</w:t>
            </w:r>
          </w:p>
          <w:p>
            <w:pPr>
              <w:spacing w:after="30"/>
            </w:pPr>
            <w:r>
              <w:rPr>
                <w:i/>
                <w:iCs/>
                <w:color w:val="5A6577"/>
                <w:sz w:val="15"/>
                <w:szCs w:val="15"/>
              </w:rPr>
              <w:t xml:space="preserve">Vancouver, Canada  ·  Retail / E-commerce / Athleisure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Architectural Revamp Leadership: Served as BA for an Accelerated Development project to revamp the architecture across all guest-facing pages, ensuring scalability and performance.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Governance &amp; Standardization: Guided the project team in following consistent patterns for Epic writing, User Story writing, and rigorous Backlog management.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AI-Driven Product Highlights: Led the 'Product Highlights' initiative, using AI to dynamically feature trending, new, and most-gifted products, resulting in a multi-million dollar revenue impact.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Home &amp; Story Page Revamp: Developed new components to educate guests on popular categories and upcoming products, enhancing the 'Community Sweatlife Stories' hub.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Strategic Partnerships: Played a key role in high-profile initiatives including the Lululemon x Olympics Team Canada Partnership and the Holiday Gift Guide revamp.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SAFe Delivery: Authored Agile/Scrum User Stories for Web, iOS, and Services within the Scaled Agile Framework (SAFe).</w:t>
            </w:r>
          </w:p>
          <w:p>
            <w:pPr>
              <w:tabs>
                <w:tab w:val="right" w:pos="10120"/>
              </w:tabs>
              <w:spacing w:after="6" w:before="100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Business Analyst —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Vancity</w:t>
            </w:r>
            <w:r>
              <w:rPr>
                <w:color w:val="5A6577"/>
                <w:sz w:val="15"/>
                <w:szCs w:val="15"/>
              </w:rPr>
              <w:t xml:space="preserve">	03/2019 – 02/2020</w:t>
            </w:r>
          </w:p>
          <w:p>
            <w:pPr>
              <w:spacing w:after="30"/>
            </w:pPr>
            <w:r>
              <w:rPr>
                <w:i/>
                <w:iCs/>
                <w:color w:val="5A6577"/>
                <w:sz w:val="15"/>
                <w:szCs w:val="15"/>
              </w:rPr>
              <w:t xml:space="preserve">Vancouver, Canada  ·  Banking / Credit Union / Financial Services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System Migration: Acted as BA within a Scaled Agile structure for a major Commercial Banking system migration for staff and members.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Stakeholder Management: Collaborated with internal teams and external vendors to elicit integration requirements and formulate user stories.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Gap Analysis: Conducted thorough analysis of existing systems to understand behavior and identify critical gaps.</w:t>
            </w:r>
          </w:p>
          <w:p>
            <w:pPr>
              <w:tabs>
                <w:tab w:val="right" w:pos="10120"/>
              </w:tabs>
              <w:spacing w:after="6" w:before="100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Business Analyst / ITQA Test Lead —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HSBC Canada</w:t>
            </w:r>
            <w:r>
              <w:rPr>
                <w:color w:val="5A6577"/>
                <w:sz w:val="15"/>
                <w:szCs w:val="15"/>
              </w:rPr>
              <w:t xml:space="preserve">	10/2011 – 03/2019</w:t>
            </w:r>
          </w:p>
          <w:p>
            <w:pPr>
              <w:spacing w:after="30"/>
            </w:pPr>
            <w:r>
              <w:rPr>
                <w:i/>
                <w:iCs/>
                <w:color w:val="5A6577"/>
                <w:sz w:val="15"/>
                <w:szCs w:val="15"/>
              </w:rPr>
              <w:t xml:space="preserve">Vancouver, Burnaby, Canada  ·  Banking / Financial Services / Digital Transformation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Digital Transformation: Delivered a digital communication platform for large customer segments, achieving sustainable cost savings and a reduced carbon footprint.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Process Improvement: Optimized business processes for Lending Systems, specifically the Credit Application and Mortgage Renewal processes.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QA Leadership: Created Test Strategies and Plans, leading manual and automated System Integration Testing (UFT) for core banking systems.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Core Banking: Managed requirements for system enhancements affecting customer-facing and back-office operations.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Regulatory Compliance: Worked on FATCA Reporting and Finance Transactions Reporting.</w:t>
            </w:r>
          </w:p>
          <w:p>
            <w:pPr>
              <w:tabs>
                <w:tab w:val="right" w:pos="10120"/>
              </w:tabs>
              <w:spacing w:after="6" w:before="100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Senior Software Engineer - Subject Matter Expert —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HSBC Global Technology</w:t>
            </w:r>
            <w:r>
              <w:rPr>
                <w:color w:val="5A6577"/>
                <w:sz w:val="15"/>
                <w:szCs w:val="15"/>
              </w:rPr>
              <w:t xml:space="preserve">	08/2005 – 03/2011</w:t>
            </w:r>
          </w:p>
          <w:p>
            <w:pPr>
              <w:spacing w:after="30"/>
            </w:pPr>
            <w:r>
              <w:rPr>
                <w:i/>
                <w:iCs/>
                <w:color w:val="5A6577"/>
                <w:sz w:val="15"/>
                <w:szCs w:val="15"/>
              </w:rPr>
              <w:t xml:space="preserve">Pune, India and Burnaby, Canada  ·  Banking / Financial Services / Enterprise Technology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System Development: Specialized in Retail Banking Systems (CRM and Transaction Processing) on mainframe/zOS platforms for HSBC UK.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Modernization: Delivered crucial transitional products to shift from legacy technology to future-proof, market-relevant solutions.</w:t>
            </w:r>
          </w:p>
        </w:tc>
      </w:tr>
    </w:tbl>
    <w:p>
      <w:pPr>
        <w:spacing w:after="140"/>
      </w:pPr>
    </w:p>
    <w:tbl>
      <w:tblPr>
        <w:tblW w:type="dxa" w:w="10440"/>
        <w:tblBorders>
          <w:top w:val="single" w:color="E2E6EE" w:sz="4"/>
          <w:left w:val="single" w:color="E2E6EE" w:sz="4"/>
          <w:bottom w:val="single" w:color="E2E6EE" w:sz="4"/>
          <w:right w:val="single" w:color="E2E6EE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FBFCF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pBdr>
                <w:bottom w:val="single" w:color="C0392B" w:sz="8" w:space="3"/>
              </w:pBdr>
              <w:spacing w:after="50"/>
            </w:pPr>
            <w:r>
              <w:rPr>
                <w:b/>
                <w:bCs/>
                <w:color w:val="C0392B"/>
                <w:spacing w:val="16"/>
                <w:sz w:val="18"/>
                <w:szCs w:val="18"/>
              </w:rPr>
              <w:t xml:space="preserve">● EXPERTISE &amp; MEASURABLE IMPACT</w:t>
            </w:r>
          </w:p>
          <w:p>
            <w:pPr>
              <w:spacing w:after="4" w:before="90"/>
            </w:pPr>
            <w:r>
              <w:rPr>
                <w:b/>
                <w:bCs/>
                <w:color w:val="1A2230"/>
                <w:sz w:val="18"/>
                <w:szCs w:val="18"/>
              </w:rPr>
              <w:t xml:space="preserve">E-Commerce &amp; Digital Retail</w:t>
            </w:r>
            <w:r>
              <w:rPr>
                <w:color w:val="5A6577"/>
                <w:sz w:val="15"/>
                <w:szCs w:val="15"/>
              </w:rPr>
              <w:t xml:space="preserve">  —  Community Engagement &amp; Product Platforms</w:t>
            </w:r>
          </w:p>
          <w:p>
            <w:pPr>
              <w:spacing w:after="16"/>
            </w:pPr>
            <w:r>
              <w:rPr>
                <w:color w:val="41505F"/>
                <w:sz w:val="15"/>
                <w:szCs w:val="15"/>
              </w:rPr>
              <w:t xml:space="preserve">Solving problems in digital retail, content management, and customer engagement platforms.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45% increase in community engagement (Sweatlife Stories)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Multi-million dollar revenue impact through AI-driven product highlights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10,000+ active users sharing stories across social channels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Successful Olympic partnership activation driving sales</w:t>
            </w:r>
          </w:p>
          <w:p>
            <w:pPr>
              <w:spacing w:after="4" w:before="90"/>
            </w:pPr>
            <w:r>
              <w:rPr>
                <w:b/>
                <w:bCs/>
                <w:color w:val="1A2230"/>
                <w:sz w:val="18"/>
                <w:szCs w:val="18"/>
              </w:rPr>
              <w:t xml:space="preserve">Banking &amp; Financial Systems</w:t>
            </w:r>
            <w:r>
              <w:rPr>
                <w:color w:val="5A6577"/>
                <w:sz w:val="15"/>
                <w:szCs w:val="15"/>
              </w:rPr>
              <w:t xml:space="preserve">  —  Core Banking &amp; Digital Transformation</w:t>
            </w:r>
          </w:p>
          <w:p>
            <w:pPr>
              <w:spacing w:after="16"/>
            </w:pPr>
            <w:r>
              <w:rPr>
                <w:color w:val="41505F"/>
                <w:sz w:val="15"/>
                <w:szCs w:val="15"/>
              </w:rPr>
              <w:t xml:space="preserve">Solving complex problems in financial services, regulatory compliance, and system modernization.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$500K+ annual savings through paperless banking transformation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Eliminated 2+ million sheets of paper annually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Zero data loss during major banking system migrations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15% improvement in customer satisfaction scores</w:t>
            </w:r>
          </w:p>
          <w:p>
            <w:pPr>
              <w:spacing w:after="4" w:before="90"/>
            </w:pPr>
            <w:r>
              <w:rPr>
                <w:b/>
                <w:bCs/>
                <w:color w:val="1A2230"/>
                <w:sz w:val="18"/>
                <w:szCs w:val="18"/>
              </w:rPr>
              <w:t xml:space="preserve">Agile &amp; SAFe Delivery</w:t>
            </w:r>
            <w:r>
              <w:rPr>
                <w:color w:val="5A6577"/>
                <w:sz w:val="15"/>
                <w:szCs w:val="15"/>
              </w:rPr>
              <w:t xml:space="preserve">  —  Scaled Agile Framework Implementation</w:t>
            </w:r>
          </w:p>
          <w:p>
            <w:pPr>
              <w:spacing w:after="16"/>
            </w:pPr>
            <w:r>
              <w:rPr>
                <w:color w:val="41505F"/>
                <w:sz w:val="15"/>
                <w:szCs w:val="15"/>
              </w:rPr>
              <w:t xml:space="preserve">Leading cross-functional teams in SAFe environments to deliver high-impact products.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30% reduction in delivery time through optimized processes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Improved team productivity through better stakeholder alignment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Enhanced cross-team communication and collaboration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Faster time-to-market for critical business features</w:t>
            </w:r>
          </w:p>
          <w:p>
            <w:pPr>
              <w:spacing w:after="4" w:before="90"/>
            </w:pPr>
            <w:r>
              <w:rPr>
                <w:b/>
                <w:bCs/>
                <w:color w:val="1A2230"/>
                <w:sz w:val="18"/>
                <w:szCs w:val="18"/>
              </w:rPr>
              <w:t xml:space="preserve">System Integration &amp; QA</w:t>
            </w:r>
            <w:r>
              <w:rPr>
                <w:color w:val="5A6577"/>
                <w:sz w:val="15"/>
                <w:szCs w:val="15"/>
              </w:rPr>
              <w:t xml:space="preserve">  —  Testing Strategy &amp; Quality Assurance</w:t>
            </w:r>
          </w:p>
          <w:p>
            <w:pPr>
              <w:spacing w:after="16"/>
            </w:pPr>
            <w:r>
              <w:rPr>
                <w:color w:val="41505F"/>
                <w:sz w:val="15"/>
                <w:szCs w:val="15"/>
              </w:rPr>
              <w:t xml:space="preserve">Comprehensive testing strategies and quality assurance for complex system integrations.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40% reduction in testing time through automation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99.5% inventory accuracy through system optimization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Reduced system downtime through proactive testing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Improved audit readiness through comprehensive documentation</w:t>
            </w:r>
          </w:p>
        </w:tc>
      </w:tr>
    </w:tbl>
    <w:p>
      <w:pPr>
        <w:spacing w:after="140"/>
      </w:pPr>
    </w:p>
    <w:tbl>
      <w:tblPr>
        <w:tblW w:type="dxa" w:w="10440"/>
        <w:tblBorders>
          <w:top w:val="single" w:color="E2E6EE" w:sz="4"/>
          <w:left w:val="single" w:color="E2E6EE" w:sz="4"/>
          <w:bottom w:val="single" w:color="E2E6EE" w:sz="4"/>
          <w:right w:val="single" w:color="E2E6EE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FBFCF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pBdr>
                <w:bottom w:val="single" w:color="C0392B" w:sz="8" w:space="3"/>
              </w:pBdr>
              <w:spacing w:after="50"/>
            </w:pPr>
            <w:r>
              <w:rPr>
                <w:b/>
                <w:bCs/>
                <w:color w:val="C0392B"/>
                <w:spacing w:val="16"/>
                <w:sz w:val="18"/>
                <w:szCs w:val="18"/>
              </w:rPr>
              <w:t xml:space="preserve">● KEY PROJECTS</w:t>
            </w:r>
          </w:p>
          <w:p>
            <w:pPr>
              <w:spacing w:after="4" w:before="90"/>
            </w:pPr>
            <w:r>
              <w:rPr>
                <w:b/>
                <w:bCs/>
                <w:color w:val="1A2230"/>
                <w:sz w:val="18"/>
                <w:szCs w:val="18"/>
              </w:rPr>
              <w:t xml:space="preserve">AI-Driven Product Highlights</w:t>
            </w:r>
            <w:r>
              <w:rPr>
                <w:color w:val="5A6577"/>
                <w:sz w:val="15"/>
                <w:szCs w:val="15"/>
              </w:rPr>
              <w:t xml:space="preserve">  —  Machine Learning &amp; Personalization</w:t>
            </w:r>
          </w:p>
          <w:p>
            <w:pPr>
              <w:spacing w:after="16"/>
            </w:pPr>
            <w:r>
              <w:rPr>
                <w:color w:val="41505F"/>
                <w:sz w:val="15"/>
                <w:szCs w:val="15"/>
              </w:rPr>
              <w:t xml:space="preserve">Led AI initiative to dynamically feature trending and personalized products using machine learning algorithms.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Multi-million dollar revenue impact through intelligent product recommendations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45% increase in click-through rates on featured products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Reduced manual merchandising effort by 70%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Improved customer engagement and personalization</w:t>
            </w:r>
          </w:p>
          <w:p>
            <w:pPr>
              <w:spacing w:after="4" w:before="90"/>
            </w:pPr>
            <w:r>
              <w:rPr>
                <w:b/>
                <w:bCs/>
                <w:color w:val="1A2230"/>
                <w:sz w:val="18"/>
                <w:szCs w:val="18"/>
              </w:rPr>
              <w:t xml:space="preserve">Enterprise Architecture Revamp</w:t>
            </w:r>
            <w:r>
              <w:rPr>
                <w:color w:val="5A6577"/>
                <w:sz w:val="15"/>
                <w:szCs w:val="15"/>
              </w:rPr>
              <w:t xml:space="preserve">  —  Scalability &amp; Performance Optimization</w:t>
            </w:r>
          </w:p>
          <w:p>
            <w:pPr>
              <w:spacing w:after="16"/>
            </w:pPr>
            <w:r>
              <w:rPr>
                <w:color w:val="41505F"/>
                <w:sz w:val="15"/>
                <w:szCs w:val="15"/>
              </w:rPr>
              <w:t xml:space="preserve">Led business analysis for comprehensive architecture overhaul across all guest-facing platforms.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Improved system scalability to handle 10x traffic growth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Reduced page load times by 40%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Enhanced development velocity through standardized patterns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Future-proofed technology stack for next 5 years</w:t>
            </w:r>
          </w:p>
          <w:p>
            <w:pPr>
              <w:spacing w:after="4" w:before="90"/>
            </w:pPr>
            <w:r>
              <w:rPr>
                <w:b/>
                <w:bCs/>
                <w:color w:val="1A2230"/>
                <w:sz w:val="18"/>
                <w:szCs w:val="18"/>
              </w:rPr>
              <w:t xml:space="preserve">Digital Banking Transformation</w:t>
            </w:r>
            <w:r>
              <w:rPr>
                <w:color w:val="5A6577"/>
                <w:sz w:val="15"/>
                <w:szCs w:val="15"/>
              </w:rPr>
              <w:t xml:space="preserve">  —  Paperless Communication Platform</w:t>
            </w:r>
          </w:p>
          <w:p>
            <w:pPr>
              <w:spacing w:after="16"/>
            </w:pPr>
            <w:r>
              <w:rPr>
                <w:color w:val="41505F"/>
                <w:sz w:val="15"/>
                <w:szCs w:val="15"/>
              </w:rPr>
              <w:t xml:space="preserve">Delivered digital communication platform for large customer segments in banking sector.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$500K+ annual cost savings through paperless processes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Eliminated 2+ million sheets of paper annually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Improved customer satisfaction by 15%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Reduced carbon footprint significantly</w:t>
            </w:r>
          </w:p>
        </w:tc>
      </w:tr>
    </w:tbl>
    <w:p>
      <w:pPr>
        <w:spacing w:after="140"/>
      </w:pPr>
    </w:p>
    <w:tbl>
      <w:tblPr>
        <w:tblW w:type="dxa" w:w="10440"/>
        <w:tblBorders>
          <w:top w:val="single" w:color="E2E6EE" w:sz="4"/>
          <w:left w:val="single" w:color="E2E6EE" w:sz="4"/>
          <w:bottom w:val="single" w:color="E2E6EE" w:sz="4"/>
          <w:right w:val="single" w:color="E2E6EE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FBFCF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pBdr>
                <w:bottom w:val="single" w:color="C0392B" w:sz="8" w:space="3"/>
              </w:pBdr>
              <w:spacing w:after="50"/>
            </w:pPr>
            <w:r>
              <w:rPr>
                <w:b/>
                <w:bCs/>
                <w:color w:val="C0392B"/>
                <w:spacing w:val="16"/>
                <w:sz w:val="18"/>
                <w:szCs w:val="18"/>
              </w:rPr>
              <w:t xml:space="preserve">● VOLUNTEERING &amp; COMMUNITY</w:t>
            </w:r>
          </w:p>
          <w:p>
            <w:pPr>
              <w:tabs>
                <w:tab w:val="right" w:pos="10120"/>
              </w:tabs>
              <w:spacing w:after="4" w:before="90"/>
            </w:pPr>
            <w:r>
              <w:rPr>
                <w:b/>
                <w:bCs/>
                <w:color w:val="1A2230"/>
                <w:sz w:val="18"/>
                <w:szCs w:val="18"/>
              </w:rPr>
              <w:t xml:space="preserve">Developer — Data &amp; Technology Team (BC) —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Ismaili Council for British Columbia</w:t>
            </w:r>
            <w:r>
              <w:rPr>
                <w:color w:val="5A6577"/>
                <w:sz w:val="15"/>
                <w:szCs w:val="15"/>
              </w:rPr>
              <w:t xml:space="preserve">	2022 – Present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Built an Events Management System: a Drupal event-request form that triggers a Microsoft Power Automate flow, routing each submission through a two-stage approval workflow and auto-creating a calendar entry once approved — replacing a manual, email-driven process.</w:t>
            </w:r>
          </w:p>
          <w:p>
            <w:pPr>
              <w:tabs>
                <w:tab w:val="right" w:pos="10120"/>
              </w:tabs>
              <w:spacing w:after="4" w:before="90"/>
            </w:pPr>
            <w:r>
              <w:rPr>
                <w:b/>
                <w:bCs/>
                <w:color w:val="1A2230"/>
                <w:sz w:val="18"/>
                <w:szCs w:val="18"/>
              </w:rPr>
              <w:t xml:space="preserve">Volunteer — Care for the Elderly Team —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Ismaili Community, British Columbia</w:t>
            </w:r>
            <w:r>
              <w:rPr>
                <w:color w:val="5A6577"/>
                <w:sz w:val="15"/>
                <w:szCs w:val="15"/>
              </w:rPr>
              <w:t xml:space="preserve">	Ongoing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4"/>
            </w:pPr>
            <w:r>
              <w:rPr>
                <w:color w:val="41505F"/>
                <w:sz w:val="17"/>
                <w:szCs w:val="17"/>
              </w:rPr>
              <w:t xml:space="preserve">Standardized Visitation Reporting: designed a structured form for volunteers to capture details of each senior visit, then automated consolidation of submissions into a unified report using spreadsheets and Microsoft Power Automate.</w:t>
            </w:r>
          </w:p>
        </w:tc>
      </w:tr>
    </w:tbl>
    <w:p>
      <w:pPr>
        <w:spacing w:after="140"/>
      </w:pPr>
    </w:p>
    <w:tbl>
      <w:tblPr>
        <w:tblW w:type="dxa" w:w="10440"/>
        <w:tblBorders>
          <w:top w:val="single" w:color="E2E6EE" w:sz="4"/>
          <w:left w:val="single" w:color="E2E6EE" w:sz="4"/>
          <w:bottom w:val="single" w:color="E2E6EE" w:sz="4"/>
          <w:right w:val="single" w:color="E2E6EE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FBFCF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pBdr>
                <w:bottom w:val="single" w:color="C0392B" w:sz="8" w:space="3"/>
              </w:pBdr>
              <w:spacing w:after="50"/>
            </w:pPr>
            <w:r>
              <w:rPr>
                <w:b/>
                <w:bCs/>
                <w:color w:val="C0392B"/>
                <w:spacing w:val="16"/>
                <w:sz w:val="18"/>
                <w:szCs w:val="18"/>
              </w:rPr>
              <w:t xml:space="preserve">● EDUCATION</w:t>
            </w:r>
          </w:p>
          <w:p>
            <w:pPr>
              <w:spacing w:after="30"/>
            </w:pPr>
            <w:r>
              <w:rPr>
                <w:b/>
                <w:bCs/>
                <w:color w:val="1A2230"/>
                <w:sz w:val="18"/>
                <w:szCs w:val="18"/>
              </w:rPr>
              <w:t xml:space="preserve">Bachelor of Engineering — Computer Science</w:t>
            </w:r>
            <w:r>
              <w:rPr>
                <w:color w:val="5A6577"/>
                <w:sz w:val="15"/>
                <w:szCs w:val="15"/>
              </w:rPr>
              <w:t xml:space="preserve">   ·   V.E.S.I.T, Mumbai, India (2005)</w:t>
            </w:r>
          </w:p>
          <w:p>
            <w:pPr>
              <w:spacing w:after="30"/>
            </w:pPr>
            <w:r>
              <w:rPr>
                <w:b/>
                <w:bCs/>
                <w:color w:val="1A2230"/>
                <w:sz w:val="18"/>
                <w:szCs w:val="18"/>
              </w:rPr>
              <w:t xml:space="preserve">Higher Secondary Certificate — Science Stream</w:t>
            </w:r>
            <w:r>
              <w:rPr>
                <w:color w:val="5A6577"/>
                <w:sz w:val="15"/>
                <w:szCs w:val="15"/>
              </w:rPr>
              <w:t xml:space="preserve">   ·   K. J. Somaiya College, Mumbai, India (2001)</w:t>
            </w:r>
          </w:p>
          <w:p>
            <w:pPr>
              <w:spacing w:after="30"/>
            </w:pPr>
            <w:r>
              <w:rPr>
                <w:b/>
                <w:bCs/>
                <w:color w:val="1A2230"/>
                <w:sz w:val="18"/>
                <w:szCs w:val="18"/>
              </w:rPr>
              <w:t xml:space="preserve">Secondary School Certificate — General Education</w:t>
            </w:r>
            <w:r>
              <w:rPr>
                <w:color w:val="5A6577"/>
                <w:sz w:val="15"/>
                <w:szCs w:val="15"/>
              </w:rPr>
              <w:t xml:space="preserve">   ·   St. Sebastian's High School, Mumbai, India (1999)</w:t>
            </w:r>
          </w:p>
        </w:tc>
      </w:tr>
    </w:tbl>
    <w:p>
      <w:pPr>
        <w:spacing w:after="140"/>
      </w:pPr>
    </w:p>
    <w:tbl>
      <w:tblPr>
        <w:tblW w:type="dxa" w:w="104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60"/>
        <w:gridCol w:w="5160"/>
      </w:tblGrid>
      <w:tr>
        <w:tc>
          <w:tcPr>
            <w:tcW w:type="dxa" w:w="5160"/>
            <w:tcBorders>
              <w:top w:val="none"/>
              <w:left w:val="none"/>
              <w:bottom w:val="none"/>
              <w:right w:val="none"/>
            </w:tcBorders>
            <w:tcMar>
              <w:right w:type="dxa" w:w="170"/>
            </w:tcMar>
            <w:vAlign w:val="top"/>
          </w:tcPr>
          <w:tbl>
            <w:tblPr>
              <w:tblW w:type="dxa" w:w="4820"/>
              <w:tblBorders>
                <w:top w:val="single" w:color="E2E6EE" w:sz="4"/>
                <w:left w:val="single" w:color="E2E6EE" w:sz="4"/>
                <w:bottom w:val="single" w:color="E2E6EE" w:sz="4"/>
                <w:right w:val="single" w:color="E2E6EE" w:sz="4"/>
                <w:insideH w:val="single" w:color="auto" w:sz="4"/>
                <w:insideV w:val="single" w:color="auto" w:sz="4"/>
              </w:tblBorders>
            </w:tblPr>
            <w:tblGrid>
              <w:gridCol w:w="4820"/>
            </w:tblGrid>
            <w:tr>
              <w:tc>
                <w:tcPr>
                  <w:tcW w:type="dxa" w:w="4820"/>
                  <w:shd w:fill="FBFCFE" w:color="auto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pBdr>
                      <w:bottom w:val="single" w:color="C0392B" w:sz="8" w:space="3"/>
                    </w:pBdr>
                    <w:spacing w:after="50"/>
                  </w:pPr>
                  <w:r>
                    <w:rPr>
                      <w:b/>
                      <w:bCs/>
                      <w:color w:val="C0392B"/>
                      <w:spacing w:val="16"/>
                      <w:sz w:val="18"/>
                      <w:szCs w:val="18"/>
                    </w:rPr>
                    <w:t xml:space="preserve">● CERTIFICATIONS</w:t>
                  </w:r>
                </w:p>
                <w:p>
                  <w:pPr>
                    <w:spacing w:after="30"/>
                  </w:pPr>
                  <w:r>
                    <w:rPr>
                      <w:color w:val="41505F"/>
                      <w:sz w:val="16"/>
                      <w:szCs w:val="16"/>
                    </w:rPr>
                    <w:t xml:space="preserve">Certified Business Analysis Professional (CBAP) - IIBA - Expired</w:t>
                  </w:r>
                </w:p>
                <w:p>
                  <w:r>
                    <w:rPr>
                      <w:color w:val="41505F"/>
                      <w:sz w:val="16"/>
                      <w:szCs w:val="16"/>
                    </w:rPr>
                    <w:t xml:space="preserve">Agile &amp; SAFe — practitioner (not certified)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/>
              <w:left w:val="none"/>
              <w:bottom w:val="none"/>
              <w:right w:val="none"/>
            </w:tcBorders>
            <w:tcMar>
              <w:left w:type="dxa" w:w="170"/>
            </w:tcMar>
            <w:vAlign w:val="top"/>
          </w:tcPr>
          <w:tbl>
            <w:tblPr>
              <w:tblW w:type="dxa" w:w="4820"/>
              <w:tblBorders>
                <w:top w:val="single" w:color="E2E6EE" w:sz="4"/>
                <w:left w:val="single" w:color="E2E6EE" w:sz="4"/>
                <w:bottom w:val="single" w:color="E2E6EE" w:sz="4"/>
                <w:right w:val="single" w:color="E2E6EE" w:sz="4"/>
                <w:insideH w:val="single" w:color="auto" w:sz="4"/>
                <w:insideV w:val="single" w:color="auto" w:sz="4"/>
              </w:tblBorders>
            </w:tblPr>
            <w:tblGrid>
              <w:gridCol w:w="4820"/>
            </w:tblGrid>
            <w:tr>
              <w:tc>
                <w:tcPr>
                  <w:tcW w:type="dxa" w:w="4820"/>
                  <w:shd w:fill="FBFCFE" w:color="auto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pBdr>
                      <w:bottom w:val="single" w:color="C0392B" w:sz="8" w:space="3"/>
                    </w:pBdr>
                    <w:spacing w:after="50"/>
                  </w:pPr>
                  <w:r>
                    <w:rPr>
                      <w:b/>
                      <w:bCs/>
                      <w:color w:val="C0392B"/>
                      <w:spacing w:val="16"/>
                      <w:sz w:val="18"/>
                      <w:szCs w:val="18"/>
                    </w:rPr>
                    <w:t xml:space="preserve">● LANGUAGES</w:t>
                  </w:r>
                </w:p>
                <w:p>
                  <w:pPr>
                    <w:tabs>
                      <w:tab w:val="right" w:pos="4500"/>
                    </w:tabs>
                    <w:spacing w:after="40"/>
                  </w:pPr>
                  <w:r>
                    <w:rPr>
                      <w:color w:val="1A2230"/>
                      <w:sz w:val="16"/>
                      <w:szCs w:val="16"/>
                    </w:rPr>
                    <w:t xml:space="preserve">Hindi</w:t>
                  </w:r>
                  <w:r>
                    <w:rPr>
                      <w:color w:val="C0392B"/>
                      <w:sz w:val="15"/>
                      <w:szCs w:val="15"/>
                    </w:rPr>
                    <w:t xml:space="preserve">	Native</w:t>
                  </w:r>
                </w:p>
                <w:p>
                  <w:pPr>
                    <w:tabs>
                      <w:tab w:val="right" w:pos="4500"/>
                    </w:tabs>
                    <w:spacing w:after="40"/>
                  </w:pPr>
                  <w:r>
                    <w:rPr>
                      <w:color w:val="1A2230"/>
                      <w:sz w:val="16"/>
                      <w:szCs w:val="16"/>
                    </w:rPr>
                    <w:t xml:space="preserve">English</w:t>
                  </w:r>
                  <w:r>
                    <w:rPr>
                      <w:color w:val="C0392B"/>
                      <w:sz w:val="15"/>
                      <w:szCs w:val="15"/>
                    </w:rPr>
                    <w:t xml:space="preserve">	Professional</w:t>
                  </w:r>
                </w:p>
                <w:p>
                  <w:pPr>
                    <w:tabs>
                      <w:tab w:val="right" w:pos="4500"/>
                    </w:tabs>
                    <w:spacing w:after="40"/>
                  </w:pPr>
                  <w:r>
                    <w:rPr>
                      <w:color w:val="1A2230"/>
                      <w:sz w:val="16"/>
                      <w:szCs w:val="16"/>
                    </w:rPr>
                    <w:t xml:space="preserve">Gujarati</w:t>
                  </w:r>
                  <w:r>
                    <w:rPr>
                      <w:color w:val="C0392B"/>
                      <w:sz w:val="15"/>
                      <w:szCs w:val="15"/>
                    </w:rPr>
                    <w:t xml:space="preserve">	Intermediate</w:t>
                  </w:r>
                </w:p>
                <w:p>
                  <w:pPr>
                    <w:tabs>
                      <w:tab w:val="right" w:pos="4500"/>
                    </w:tabs>
                    <w:spacing w:after="40"/>
                  </w:pPr>
                  <w:r>
                    <w:rPr>
                      <w:color w:val="1A2230"/>
                      <w:sz w:val="16"/>
                      <w:szCs w:val="16"/>
                    </w:rPr>
                    <w:t xml:space="preserve">Marathi</w:t>
                  </w:r>
                  <w:r>
                    <w:rPr>
                      <w:color w:val="C0392B"/>
                      <w:sz w:val="15"/>
                      <w:szCs w:val="15"/>
                    </w:rPr>
                    <w:t xml:space="preserve">	Basic</w:t>
                  </w:r>
                </w:p>
              </w:tc>
            </w:tr>
          </w:tbl>
          <w:p/>
        </w:tc>
      </w:tr>
    </w:tbl>
    <w:sectPr>
      <w:pgSz w:w="12240" w:h="15840" w:orient="portrait"/>
      <w:pgMar w:top="6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60ead5add2062b6eb3fd6d01734e081bc19d9bb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Nuruddinali (Nur) Dawoodani — Resume</dc:title>
  <dc:creator>Nuruddinali (Nur) Dawoodani</dc:creator>
  <cp:lastModifiedBy>Un-named</cp:lastModifiedBy>
  <cp:revision>1</cp:revision>
  <dcterms:created xsi:type="dcterms:W3CDTF">2026-08-07T21:26:57.573Z</dcterms:created>
  <dcterms:modified xsi:type="dcterms:W3CDTF">2026-08-07T21:26:57.573Z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