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EMCS2210: Privacy and Personal Data Protection</w:t>
      </w:r>
    </w:p>
    <w:p w:rsidR="00000000" w:rsidDel="00000000" w:rsidP="00000000" w:rsidRDefault="00000000" w:rsidRPr="00000000" w14:paraId="00000002">
      <w:pPr>
        <w:rPr/>
      </w:pPr>
      <w:r w:rsidDel="00000000" w:rsidR="00000000" w:rsidRPr="00000000">
        <w:rPr>
          <w:rtl w:val="0"/>
        </w:rPr>
        <w:t xml:space="preserve">Assignment: Tie-In to CCP for Module 4</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CCP is hacking experiment, one designed to find holes in the CFAA.  Therefore, it makes sense that I would also find holes and loopholes in GDPR, instances where common sense would tell us that the GDPR would apply but because inadequate language, provisions or protections it would not.  To narrow the scope I would only evaluate instance related to my case studies which are currently under development.  Once I find the loopholes I can suggest new language, provisions or protections that would eliminate the weaknesses.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