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5836263"/>
    <w:p w:rsidR="003A0196" w:rsidRPr="00FC3598" w:rsidRDefault="00D81ED3" w:rsidP="00767D70">
      <w:pPr>
        <w:pStyle w:val="Balk2"/>
        <w:spacing w:line="360" w:lineRule="auto"/>
        <w:jc w:val="center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Id</m:t>
              </m:r>
            </m:e>
            <m:sub>
              <m:r>
                <w:rPr>
                  <w:rFonts w:ascii="Cambria Math" w:hAnsi="Cambria Math"/>
                  <w:color w:val="auto"/>
                </w:rPr>
                <m:t>avg</m:t>
              </m:r>
            </m:sub>
          </m:sSub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α</m:t>
              </m:r>
            </m:sub>
            <m:sup>
              <m:r>
                <w:rPr>
                  <w:rFonts w:ascii="Cambria Math" w:hAnsi="Cambria Math"/>
                  <w:color w:val="auto"/>
                </w:rPr>
                <m:t>π+α</m:t>
              </m:r>
            </m:sup>
            <m:e>
              <m:r>
                <w:rPr>
                  <w:rFonts w:ascii="Cambria Math" w:hAnsi="Cambria Math"/>
                  <w:color w:val="auto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wt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dwt</m:t>
              </m:r>
            </m:e>
          </m:nary>
        </m:oMath>
      </m:oMathPara>
    </w:p>
    <w:p w:rsidR="00767D70" w:rsidRPr="00FC3598" w:rsidRDefault="00767D70" w:rsidP="00767D70"/>
    <w:p w:rsidR="003A0196" w:rsidRPr="00FC3598" w:rsidRDefault="00D81ED3" w:rsidP="00767D70">
      <w:pPr>
        <w:pStyle w:val="Balk2"/>
        <w:spacing w:line="360" w:lineRule="auto"/>
        <w:jc w:val="center"/>
        <w:rPr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I</m:t>
              </m:r>
            </m:e>
            <m:sub>
              <m:r>
                <w:rPr>
                  <w:rFonts w:ascii="Cambria Math" w:hAnsi="Cambria Math"/>
                  <w:color w:val="auto"/>
                </w:rPr>
                <m:t>avg</m:t>
              </m:r>
            </m:sub>
          </m:sSub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Ai</m:t>
              </m:r>
            </m:num>
            <m:den>
              <m:r>
                <w:rPr>
                  <w:rFonts w:ascii="Cambria Math" w:hAnsi="Cambria Math"/>
                  <w:color w:val="auto"/>
                </w:rPr>
                <m:t>π</m:t>
              </m:r>
            </m:den>
          </m:f>
          <m:r>
            <w:rPr>
              <w:rFonts w:ascii="Cambria Math" w:hAnsi="Cambria Math"/>
              <w:color w:val="auto"/>
            </w:rPr>
            <m:t>=30 Ampere</m:t>
          </m:r>
        </m:oMath>
      </m:oMathPara>
    </w:p>
    <w:p w:rsidR="003A0196" w:rsidRPr="00FC3598" w:rsidRDefault="003A0196" w:rsidP="003A0196">
      <w:pPr>
        <w:pStyle w:val="Balk2"/>
        <w:rPr>
          <w:color w:val="auto"/>
        </w:rPr>
      </w:pPr>
    </w:p>
    <w:p w:rsidR="006817A7" w:rsidRPr="00FC3598" w:rsidRDefault="003A0196" w:rsidP="006817A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Vl=L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Vldwt=Lwdİ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-Ri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=Lwdi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Ri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=150π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230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1+cosα</m:t>
              </m:r>
            </m:e>
          </m:d>
          <m:r>
            <w:rPr>
              <w:rFonts w:ascii="Cambria Math" w:eastAsiaTheme="majorEastAsia" w:hAnsi="Cambria Math" w:cstheme="majorBidi"/>
            </w:rPr>
            <m:t>=150π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1+cosα=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230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230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-1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cosα=63.33°</m:t>
          </m:r>
        </m:oMath>
      </m:oMathPara>
    </w:p>
    <w:bookmarkEnd w:id="0"/>
    <w:p w:rsidR="00767D70" w:rsidRDefault="00767D70" w:rsidP="006817A7">
      <w:pPr>
        <w:rPr>
          <w:rFonts w:asciiTheme="majorHAnsi" w:eastAsiaTheme="majorEastAsia" w:hAnsiTheme="majorHAnsi" w:cstheme="majorBidi"/>
        </w:rPr>
      </w:pPr>
    </w:p>
    <w:p w:rsidR="003E6CA3" w:rsidRDefault="003E6CA3" w:rsidP="006817A7">
      <w:pPr>
        <w:jc w:val="center"/>
        <w:rPr>
          <w:rFonts w:asciiTheme="majorHAnsi" w:eastAsiaTheme="majorEastAsia" w:hAnsiTheme="majorHAnsi" w:cstheme="majorBidi"/>
        </w:rPr>
      </w:pPr>
    </w:p>
    <w:bookmarkStart w:id="1" w:name="_Hlk25835977"/>
    <w:p w:rsidR="003E6CA3" w:rsidRPr="00FC3598" w:rsidRDefault="00D81ED3" w:rsidP="006817A7">
      <w:pPr>
        <w:pStyle w:val="Balk2"/>
        <w:spacing w:line="360" w:lineRule="auto"/>
        <w:jc w:val="center"/>
        <w:rPr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Id</m:t>
              </m:r>
            </m:e>
            <m:sub>
              <m:r>
                <w:rPr>
                  <w:rFonts w:ascii="Cambria Math" w:hAnsi="Cambria Math"/>
                  <w:color w:val="auto"/>
                </w:rPr>
                <m:t>avg</m:t>
              </m:r>
            </m:sub>
          </m:sSub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α</m:t>
              </m:r>
            </m:sub>
            <m:sup>
              <m:r>
                <w:rPr>
                  <w:rFonts w:ascii="Cambria Math" w:hAnsi="Cambria Math"/>
                  <w:color w:val="auto"/>
                </w:rPr>
                <m:t>π+α</m:t>
              </m:r>
            </m:sup>
            <m:e>
              <m:r>
                <w:rPr>
                  <w:rFonts w:ascii="Cambria Math" w:hAnsi="Cambria Math"/>
                  <w:color w:val="auto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wt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dwt</m:t>
              </m:r>
            </m:e>
          </m:nary>
        </m:oMath>
      </m:oMathPara>
    </w:p>
    <w:p w:rsidR="003E6CA3" w:rsidRPr="00FC3598" w:rsidRDefault="00D81ED3" w:rsidP="006817A7">
      <w:pPr>
        <w:pStyle w:val="Balk2"/>
        <w:spacing w:line="360" w:lineRule="auto"/>
        <w:ind w:firstLine="708"/>
        <w:jc w:val="center"/>
        <w:rPr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I</m:t>
              </m:r>
            </m:e>
            <m:sub>
              <m:r>
                <w:rPr>
                  <w:rFonts w:ascii="Cambria Math" w:hAnsi="Cambria Math"/>
                  <w:color w:val="auto"/>
                </w:rPr>
                <m:t>avg</m:t>
              </m:r>
            </m:sub>
          </m:sSub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Ai</m:t>
              </m:r>
            </m:num>
            <m:den>
              <m:r>
                <w:rPr>
                  <w:rFonts w:ascii="Cambria Math" w:hAnsi="Cambria Math"/>
                  <w:color w:val="auto"/>
                </w:rPr>
                <m:t>π</m:t>
              </m:r>
            </m:den>
          </m:f>
          <m:r>
            <w:rPr>
              <w:rFonts w:ascii="Cambria Math" w:hAnsi="Cambria Math"/>
              <w:color w:val="auto"/>
            </w:rPr>
            <m:t>=30 Ampere</m:t>
          </m:r>
        </m:oMath>
      </m:oMathPara>
    </w:p>
    <w:p w:rsidR="003E6CA3" w:rsidRPr="00FC3598" w:rsidRDefault="003E6CA3" w:rsidP="006817A7">
      <w:pPr>
        <w:pStyle w:val="Balk2"/>
        <w:jc w:val="center"/>
        <w:rPr>
          <w:color w:val="auto"/>
        </w:rPr>
      </w:pPr>
    </w:p>
    <w:p w:rsidR="003E6CA3" w:rsidRPr="00FC3598" w:rsidRDefault="003E6CA3" w:rsidP="006817A7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Vl=L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Vldwt=Lwdİ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Vs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-Ri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wt</m:t>
              </m:r>
            </m:e>
          </m:d>
          <m:r>
            <w:rPr>
              <w:rFonts w:ascii="Cambria Math" w:eastAsiaTheme="majorEastAsia" w:hAnsi="Cambria Math" w:cstheme="majorBidi"/>
            </w:rPr>
            <m:t>=Lwdi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Ri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α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π+α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Vs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wt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dwt</m:t>
              </m:r>
            </m:e>
          </m:nary>
          <m:r>
            <w:rPr>
              <w:rFonts w:ascii="Cambria Math" w:eastAsiaTheme="majorEastAsia" w:hAnsi="Cambria Math" w:cstheme="majorBidi"/>
            </w:rPr>
            <m:t>=150π</m:t>
          </m:r>
        </m:oMath>
      </m:oMathPara>
    </w:p>
    <w:p w:rsidR="00C13E31" w:rsidRPr="00FC3598" w:rsidRDefault="003E6CA3" w:rsidP="006817A7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150π=230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(cosα-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cos⁡</m:t>
          </m:r>
          <m:r>
            <w:rPr>
              <w:rFonts w:ascii="Cambria Math" w:eastAsiaTheme="majorEastAsia" w:hAnsi="Cambria Math" w:cstheme="majorBidi"/>
            </w:rPr>
            <m:t>(π+α)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460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 xml:space="preserve">2 </m:t>
              </m:r>
            </m:e>
          </m:rad>
          <m:r>
            <w:rPr>
              <w:rFonts w:ascii="Cambria Math" w:eastAsiaTheme="majorEastAsia" w:hAnsi="Cambria Math" w:cstheme="majorBidi"/>
            </w:rPr>
            <m:t xml:space="preserve"> cosα= 150π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cosα=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150π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460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α=43.5 °</m:t>
          </m:r>
        </m:oMath>
      </m:oMathPara>
    </w:p>
    <w:bookmarkEnd w:id="1"/>
    <w:p w:rsidR="003E6CA3" w:rsidRDefault="003E6CA3" w:rsidP="00C13E3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br/>
      </w:r>
      <w:r w:rsidR="00C13E31">
        <w:rPr>
          <w:rFonts w:asciiTheme="majorHAnsi" w:eastAsiaTheme="majorEastAsia" w:hAnsiTheme="majorHAnsi" w:cstheme="majorBidi"/>
        </w:rPr>
        <w:t>Comparation</w:t>
      </w: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  <w:bookmarkStart w:id="2" w:name="_Hlk25836926"/>
      <w:bookmarkStart w:id="3" w:name="_GoBack"/>
      <w:r>
        <w:rPr>
          <w:rFonts w:asciiTheme="majorHAnsi" w:eastAsiaTheme="majorEastAsia" w:hAnsiTheme="majorHAnsi" w:cstheme="majorBidi"/>
        </w:rPr>
        <w:t xml:space="preserve">First topology </w:t>
      </w:r>
      <w:proofErr w:type="gramStart"/>
      <w:r>
        <w:rPr>
          <w:rFonts w:asciiTheme="majorHAnsi" w:eastAsiaTheme="majorEastAsia" w:hAnsiTheme="majorHAnsi" w:cstheme="majorBidi"/>
        </w:rPr>
        <w:t>is  the</w:t>
      </w:r>
      <w:proofErr w:type="gramEnd"/>
      <w:r>
        <w:rPr>
          <w:rFonts w:asciiTheme="majorHAnsi" w:eastAsiaTheme="majorEastAsia" w:hAnsiTheme="majorHAnsi" w:cstheme="majorBidi"/>
        </w:rPr>
        <w:t xml:space="preserve"> controlled full wave  bridge rectifier .In this  topology our output voltage  can be negative . That mean our peak to peak voltage difference is high. We could get a waveform which is less DC. We can use that topology if we need </w:t>
      </w:r>
      <w:proofErr w:type="gramStart"/>
      <w:r>
        <w:rPr>
          <w:rFonts w:asciiTheme="majorHAnsi" w:eastAsiaTheme="majorEastAsia" w:hAnsiTheme="majorHAnsi" w:cstheme="majorBidi"/>
        </w:rPr>
        <w:t>control  the</w:t>
      </w:r>
      <w:proofErr w:type="gramEnd"/>
      <w:r>
        <w:rPr>
          <w:rFonts w:asciiTheme="majorHAnsi" w:eastAsiaTheme="majorEastAsia" w:hAnsiTheme="majorHAnsi" w:cstheme="majorBidi"/>
        </w:rPr>
        <w:t xml:space="preserve"> our system more sensitive. </w:t>
      </w:r>
      <w:proofErr w:type="gramStart"/>
      <w:r>
        <w:rPr>
          <w:rFonts w:asciiTheme="majorHAnsi" w:eastAsiaTheme="majorEastAsia" w:hAnsiTheme="majorHAnsi" w:cstheme="majorBidi"/>
        </w:rPr>
        <w:t>We  can</w:t>
      </w:r>
      <w:proofErr w:type="gramEnd"/>
      <w:r>
        <w:rPr>
          <w:rFonts w:asciiTheme="majorHAnsi" w:eastAsiaTheme="majorEastAsia" w:hAnsiTheme="majorHAnsi" w:cstheme="majorBidi"/>
        </w:rPr>
        <w:t xml:space="preserve"> control better. But average output </w:t>
      </w:r>
      <w:proofErr w:type="gramStart"/>
      <w:r>
        <w:rPr>
          <w:rFonts w:asciiTheme="majorHAnsi" w:eastAsiaTheme="majorEastAsia" w:hAnsiTheme="majorHAnsi" w:cstheme="majorBidi"/>
        </w:rPr>
        <w:t>voltage  is</w:t>
      </w:r>
      <w:proofErr w:type="gramEnd"/>
      <w:r>
        <w:rPr>
          <w:rFonts w:asciiTheme="majorHAnsi" w:eastAsiaTheme="majorEastAsia" w:hAnsiTheme="majorHAnsi" w:cstheme="majorBidi"/>
        </w:rPr>
        <w:t xml:space="preserve"> lower cause of negative cycle of V out.</w:t>
      </w: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Second topology is the half controlled full wave bridge </w:t>
      </w:r>
      <w:proofErr w:type="spellStart"/>
      <w:proofErr w:type="gramStart"/>
      <w:r>
        <w:rPr>
          <w:rFonts w:asciiTheme="majorHAnsi" w:eastAsiaTheme="majorEastAsia" w:hAnsiTheme="majorHAnsi" w:cstheme="majorBidi"/>
        </w:rPr>
        <w:t>rectifier.Output</w:t>
      </w:r>
      <w:proofErr w:type="spellEnd"/>
      <w:proofErr w:type="gramEnd"/>
      <w:r>
        <w:rPr>
          <w:rFonts w:asciiTheme="majorHAnsi" w:eastAsiaTheme="majorEastAsia" w:hAnsiTheme="majorHAnsi" w:cstheme="majorBidi"/>
        </w:rPr>
        <w:t xml:space="preserve"> voltage </w:t>
      </w:r>
      <w:proofErr w:type="spellStart"/>
      <w:r>
        <w:rPr>
          <w:rFonts w:asciiTheme="majorHAnsi" w:eastAsiaTheme="majorEastAsia" w:hAnsiTheme="majorHAnsi" w:cstheme="majorBidi"/>
        </w:rPr>
        <w:t>can not</w:t>
      </w:r>
      <w:proofErr w:type="spellEnd"/>
      <w:r>
        <w:rPr>
          <w:rFonts w:asciiTheme="majorHAnsi" w:eastAsiaTheme="majorEastAsia" w:hAnsiTheme="majorHAnsi" w:cstheme="majorBidi"/>
        </w:rPr>
        <w:t xml:space="preserve"> be </w:t>
      </w:r>
      <w:proofErr w:type="spellStart"/>
      <w:r>
        <w:rPr>
          <w:rFonts w:asciiTheme="majorHAnsi" w:eastAsiaTheme="majorEastAsia" w:hAnsiTheme="majorHAnsi" w:cstheme="majorBidi"/>
        </w:rPr>
        <w:t>negative.So</w:t>
      </w:r>
      <w:proofErr w:type="spellEnd"/>
      <w:r>
        <w:rPr>
          <w:rFonts w:asciiTheme="majorHAnsi" w:eastAsiaTheme="majorEastAsia" w:hAnsiTheme="majorHAnsi" w:cstheme="majorBidi"/>
        </w:rPr>
        <w:t xml:space="preserve"> peak to peak voltage  is lower than full controlled FWBR. This topology has higher average output </w:t>
      </w:r>
      <w:proofErr w:type="spellStart"/>
      <w:proofErr w:type="gramStart"/>
      <w:r>
        <w:rPr>
          <w:rFonts w:asciiTheme="majorHAnsi" w:eastAsiaTheme="majorEastAsia" w:hAnsiTheme="majorHAnsi" w:cstheme="majorBidi"/>
        </w:rPr>
        <w:t>voltage.But</w:t>
      </w:r>
      <w:proofErr w:type="spellEnd"/>
      <w:proofErr w:type="gramEnd"/>
      <w:r>
        <w:rPr>
          <w:rFonts w:asciiTheme="majorHAnsi" w:eastAsiaTheme="majorEastAsia" w:hAnsiTheme="majorHAnsi" w:cstheme="majorBidi"/>
        </w:rPr>
        <w:t xml:space="preserve"> the  control of the rectifier work with only two thyristor  so the control of the FWBR is </w:t>
      </w:r>
      <w:r w:rsidR="00DA5693">
        <w:rPr>
          <w:rFonts w:asciiTheme="majorHAnsi" w:eastAsiaTheme="majorEastAsia" w:hAnsiTheme="majorHAnsi" w:cstheme="majorBidi"/>
        </w:rPr>
        <w:t xml:space="preserve">different than full controlled </w:t>
      </w:r>
      <w:proofErr w:type="spellStart"/>
      <w:r w:rsidR="00DA5693">
        <w:rPr>
          <w:rFonts w:asciiTheme="majorHAnsi" w:eastAsiaTheme="majorEastAsia" w:hAnsiTheme="majorHAnsi" w:cstheme="majorBidi"/>
        </w:rPr>
        <w:t>one.If</w:t>
      </w:r>
      <w:proofErr w:type="spellEnd"/>
      <w:r w:rsidR="00DA5693">
        <w:rPr>
          <w:rFonts w:asciiTheme="majorHAnsi" w:eastAsiaTheme="majorEastAsia" w:hAnsiTheme="majorHAnsi" w:cstheme="majorBidi"/>
        </w:rPr>
        <w:t xml:space="preserve"> we need to use more average voltage and also we want to control the output voltage we should use that topology.</w:t>
      </w:r>
    </w:p>
    <w:bookmarkEnd w:id="2"/>
    <w:bookmarkEnd w:id="3"/>
    <w:p w:rsidR="00DA5693" w:rsidRDefault="00DA5693" w:rsidP="00C13E31">
      <w:pPr>
        <w:rPr>
          <w:rFonts w:asciiTheme="majorHAnsi" w:eastAsiaTheme="majorEastAsia" w:hAnsiTheme="majorHAnsi" w:cstheme="majorBidi"/>
        </w:rPr>
      </w:pPr>
    </w:p>
    <w:p w:rsidR="00DA5693" w:rsidRDefault="00DA5693" w:rsidP="00C13E31">
      <w:pPr>
        <w:rPr>
          <w:rFonts w:asciiTheme="majorHAnsi" w:eastAsiaTheme="majorEastAsia" w:hAnsiTheme="majorHAnsi" w:cstheme="majorBidi"/>
        </w:rPr>
      </w:pPr>
    </w:p>
    <w:p w:rsidR="00C13E31" w:rsidRDefault="00C13E31" w:rsidP="00C13E31">
      <w:pPr>
        <w:rPr>
          <w:rFonts w:asciiTheme="majorHAnsi" w:eastAsiaTheme="majorEastAsia" w:hAnsiTheme="majorHAnsi" w:cstheme="majorBidi"/>
        </w:rPr>
      </w:pPr>
    </w:p>
    <w:p w:rsid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Pr="003E6CA3" w:rsidRDefault="003E6CA3" w:rsidP="003A0196">
      <w:pPr>
        <w:rPr>
          <w:rFonts w:asciiTheme="majorHAnsi" w:eastAsiaTheme="majorEastAsia" w:hAnsiTheme="majorHAnsi" w:cstheme="majorBidi"/>
        </w:rPr>
      </w:pPr>
    </w:p>
    <w:p w:rsidR="003E6CA3" w:rsidRPr="003E6CA3" w:rsidRDefault="003E6CA3" w:rsidP="003A0196">
      <w:pPr>
        <w:rPr>
          <w:rFonts w:asciiTheme="majorHAnsi" w:eastAsiaTheme="majorEastAsia" w:hAnsiTheme="majorHAnsi" w:cstheme="majorBidi"/>
        </w:rPr>
      </w:pPr>
    </w:p>
    <w:sectPr w:rsidR="003E6CA3" w:rsidRPr="003E6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96"/>
    <w:rsid w:val="003A0196"/>
    <w:rsid w:val="003E6CA3"/>
    <w:rsid w:val="004A2884"/>
    <w:rsid w:val="006817A7"/>
    <w:rsid w:val="00767D70"/>
    <w:rsid w:val="00C13E31"/>
    <w:rsid w:val="00D81ED3"/>
    <w:rsid w:val="00DA5693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0C874-9D77-4991-B32E-C9C36C04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96"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A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jx-char">
    <w:name w:val="mjx-char"/>
    <w:basedOn w:val="VarsaylanParagrafYazTipi"/>
    <w:rsid w:val="003A0196"/>
  </w:style>
  <w:style w:type="character" w:customStyle="1" w:styleId="Balk2Char">
    <w:name w:val="Başlık 2 Char"/>
    <w:basedOn w:val="VarsaylanParagrafYazTipi"/>
    <w:link w:val="Balk2"/>
    <w:uiPriority w:val="9"/>
    <w:rsid w:val="003A0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A0196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17A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Nurettin Çavuş</dc:creator>
  <cp:keywords/>
  <dc:description/>
  <cp:lastModifiedBy>Nurettin Çavuş</cp:lastModifiedBy>
  <cp:revision>3</cp:revision>
  <dcterms:created xsi:type="dcterms:W3CDTF">2019-11-27T08:07:00Z</dcterms:created>
  <dcterms:modified xsi:type="dcterms:W3CDTF">2019-11-28T09:36:00Z</dcterms:modified>
</cp:coreProperties>
</file>