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New Mechta marketing inventory 2026:</w:t>
        <w:br w:type="textWrapping"/>
        <w:br w:type="textWrapping"/>
      </w:r>
    </w:p>
    <w:tbl>
      <w:tblPr>
        <w:tblStyle w:val="Table1"/>
        <w:tblW w:w="15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415"/>
        <w:gridCol w:w="6930"/>
        <w:gridCol w:w="2475"/>
        <w:gridCol w:w="2145"/>
        <w:tblGridChange w:id="0">
          <w:tblGrid>
            <w:gridCol w:w="1680"/>
            <w:gridCol w:w="2415"/>
            <w:gridCol w:w="6930"/>
            <w:gridCol w:w="247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2d2d7" w:space="0" w:sz="6" w:val="single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d2d2d7" w:space="0" w:sz="6" w:val="single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</w:p>
        </w:tc>
        <w:tc>
          <w:tcPr>
            <w:tcBorders>
              <w:top w:color="d2d2d7" w:space="0" w:sz="6" w:val="single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is it</w:t>
            </w:r>
          </w:p>
        </w:tc>
        <w:tc>
          <w:tcPr>
            <w:tcBorders>
              <w:top w:color="d2d2d7" w:space="0" w:sz="6" w:val="single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d2d2d7" w:space="0" w:sz="6" w:val="single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Audience Intelligence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DMP · CDP · NBO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DMP - first-party audiences &amp; look-alikes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Audience activation on Mechta's first-party purchase data across 80+ stores, mechta.kz and the app. We build precise, deterministic buyer segments (category owners, high-frequency / high-value buyers, non-converting browsers, RFM-segments) and direct DMP or seeded look-alikes, then activate them in programmatic and social (Byyd, Meta, Google, TikTok,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Telegram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, Yandex) and inside CRM sends. Targeting on real purchase behaviour - not interest-based guesswork. Only for Mechta ad cabinets.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  ·  Drive Upgrade  ·  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Add-on to CRM / Digital - scoped with the media line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NBO - proprietary ML Next-Best-Offer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In-house machine-learning model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that scores every customer and predicts the next best product / offer: accessory attach (adapters, AirPods, Watch, cases), upgrade readiness, and multi-device cross-sell. Powers smart-cart recommendations, personalised bundles and 1:1 CRM offers to lift attach rate and basket value.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Grow Attach  ·  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Add-on - scoped with campaign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Cascading CDP journeys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Multi-channel orchestration through our CDP: sequenced sends that escalate cheapest-to-richest channel (</w:t>
            </w: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push → email → WhatsApp → SMS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 with frequency capping and suppression logic, triggered on behaviour and NBO scores. More reach per contact at a controlled cost-per-conversion.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  ·  Drive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channel volume (see CRM rates) + orchestration setup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Predictive upgrade / reactivation segments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Model-derived segments of Apple owners who have not upgraded in 12+ months and, per our model, are ready to buy - activated for trade-in and installment messaging across CRM and programmatic. Potential NBO-based (next buy) Apple/Iphone buyers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Drive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Add-on to CRM / Digital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Performance / Digital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Google Ads - 360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1) Search - capturing existing demand (by models &amp; specs); 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2) Performance Max - media formats &amp; placements </w:t>
            </w: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with product feeds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, plus DMP and look-alike seeds, not only for cold traffic; 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3) Demand Gen - reach formats to warm the target audience and collect segments for remarketing.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GMV, velocity or ROAS / CRR targets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Meta (Instagram / Facebook)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Feed, Stories &amp; Reels; catalogue and dynamic product ads (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DPA. *Also we can use your depersonalized audiences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); look-alikes built on Mechta first-party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GMV, velocity or ROAS / CRR targets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TikTok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In-feed and Spark ads, creator-led performance formats.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GMV, velocity or ROAS / CRR targets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Yandex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Search and display across the Yandex network.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GMV, velocity or ROAS / CRR targets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Programmatic (Byyd / DSP)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Automated buying across thousands of sites and apps with DMP-audience activation - no per-placement negotiation.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Roboto Medium" w:cs="Roboto Medium" w:eastAsia="Roboto Medium" w:hAnsi="Roboto Medium"/>
                <w:sz w:val="20"/>
                <w:szCs w:val="20"/>
              </w:rPr>
            </w:pPr>
            <w:r w:rsidDel="00000000" w:rsidR="00000000" w:rsidRPr="00000000">
              <w:rPr>
                <w:rFonts w:ascii="Roboto Medium" w:cs="Roboto Medium" w:eastAsia="Roboto Medium" w:hAnsi="Roboto Medium"/>
                <w:sz w:val="20"/>
                <w:szCs w:val="20"/>
                <w:rtl w:val="0"/>
              </w:rPr>
              <w:t xml:space="preserve">*especially if the standard number of touchpoints prior to purchase is 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GMV, velocity or ROAS / CRR targets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Telegram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Channels &amp; Stories placements with DMP-segment targeting.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GMV, velocity or ROAS / CRR targets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Kaspi 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Product-card priority placement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Priority ranking of your product card in Kaspi.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GMV / velocity targets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Banner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Banner inside the Kaspi interface.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Review bonus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Cashback to the buyer for a review - social proof and velocity.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Grow Attach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Seller bonus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cashback as an extra purchase incentive.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Drive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External traffic to Kaspi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Paid external traffic routed to your Kaspi card.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By ROAS targets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CRM/CDP - owned 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Your offer to our opted-in subscriber base, segmentable via DMP.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Push (app)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In-app message to Mechta app users.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Add-on - scoped with complex campaigns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Up to 120 chars + link. Our tests show higher response than SMS.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40 KZT / message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Classic SMS up to 47 chars + link.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20 KZT / message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Personalised promo codes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1:1 codes for closed-loop conversion tracking from every send.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Drive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Loyalty-program bonus mechanics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Configure vendor-funded bonus mechanics inside Mechta's loyalty programme: cashback accrual with definable spend thresholds, point-expiry windows, and brand- or SKU-level restrictions on where points can be redeemed - steering repeat purchases and accessory attach toward your products.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 · Grow Attach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 - bonus fund vendor-funded, setup scoped per mechanic 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Content / SMM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Social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One branded post.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Pinned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Post held pinned at the top of the profile.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56,000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Instagram highlight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Branded highlight.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280,000 KZT</w:t>
            </w:r>
          </w:p>
        </w:tc>
      </w:tr>
      <w:tr>
        <w:trPr>
          <w:cantSplit w:val="0"/>
          <w:trHeight w:val="435.03906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Mini SMM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Bundle of posts / stories over a set period (composition to confirm).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448,000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Large SMM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Extended SMM bundle (composition to confirm).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784,000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Special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Custom format built to the brief.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Influencer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Integrations with Mechta's vetted creator pool.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Video (Reels / Shorts)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Short-form vertical video.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196,000 KZT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Creative / Art 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3D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Full 3D product film - hero launch asset.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Drive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2,500,000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AR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Augmented-reality product film.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Drive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1,000,000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AI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AI-generated video - faster and cheaper than classic production.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Drive Upgrade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400,000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3D immersive landing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Interactive 3D campaign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1,500,000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Landing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Dedicated campaign landing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700,000 KZT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Gamification (web &amp; app)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Mini-game / interactive engagement mechanic.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3,000,000 KZT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Website - mechta.kz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Homepage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The highest-traffic page on the site.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600,000 KZT / mo  (400,000 / half-month)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Category banner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Banner on the relevant product-category page.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300,000 KZT / mo  (200,000 / half-month)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Online Brand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Branded storefront on the site.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Scale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1,200,000 KZT / mo  (750,000 / half-month)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Category leader plaque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Locked as category leader for a year.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2,000,000 KZT / year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Digital media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Placement in an online outlet.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Print media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Placement in a print outlet.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Brand event / launch activation.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Premium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Copywriting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We write the article for placement.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Expand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2d2d7" w:space="0" w:sz="6" w:val="single"/>
              <w:bottom w:color="d2d2d7" w:space="0" w:sz="6" w:val="single"/>
              <w:right w:color="d2d2d7" w:space="0" w:sz="6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Roboto SemiBold" w:cs="Roboto SemiBold" w:eastAsia="Roboto SemiBold" w:hAnsi="Roboto SemiBold"/>
                <w:sz w:val="20"/>
                <w:szCs w:val="20"/>
              </w:rPr>
            </w:pPr>
            <w:r w:rsidDel="00000000" w:rsidR="00000000" w:rsidRPr="00000000">
              <w:rPr>
                <w:rFonts w:ascii="Roboto SemiBold" w:cs="Roboto SemiBold" w:eastAsia="Roboto SemiBold" w:hAnsi="Roboto SemiBold"/>
                <w:sz w:val="20"/>
                <w:szCs w:val="20"/>
                <w:rtl w:val="0"/>
              </w:rPr>
              <w:t xml:space="preserve">In-store / Retail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In-store digital screens / DOOH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Digital screens and retail-media across 100+ stores nationwide - physical reach no smaller-footprint competitor can match. Pairs with Apple-zone POS and trained-consultant / store-team activation.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Premium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2d2d7" w:space="0" w:sz="6" w:val="single"/>
              <w:right w:color="d2d2d7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On request  (to scope with Dmitry)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3" Type="http://schemas.openxmlformats.org/officeDocument/2006/relationships/font" Target="fonts/NovaMono-regular.ttf"/><Relationship Id="rId12" Type="http://schemas.openxmlformats.org/officeDocument/2006/relationships/font" Target="fonts/RobotoSemiBold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