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54" w:rsidRPr="00682A41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28"/>
          <w:szCs w:val="28"/>
        </w:rPr>
      </w:pPr>
      <w:r w:rsidRPr="00682A41">
        <w:rPr>
          <w:rFonts w:ascii="Gotham-Medium" w:hAnsi="Gotham-Medium" w:cs="Gotham-Medium"/>
          <w:color w:val="FF050A"/>
          <w:sz w:val="28"/>
          <w:szCs w:val="28"/>
        </w:rPr>
        <w:t>KOMITE AUDIT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Komite Audit bertugas untuk memberikan pendapat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kepada Dewan Komisaris terhadap laporan atau hal-hal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yang disampaikan oleh Direksi kepada Dewan Komisaris,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mengidentifikasi hal-hal yang memerlukan perhatian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Dewan Komisaris, dan melaksanakan tugas-tugas lain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yang berkaitan dengan tugas Dewan Komisaris, antara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lain meliputi: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Melakukan penelaahan atas informasi keuangan yang akan dikeluarkan Perseroan seperti laporan keuangan, proyeksi, dan informasi keuangan lainnya;</w:t>
      </w:r>
    </w:p>
    <w:p w:rsidR="00204954" w:rsidRDefault="00204954" w:rsidP="0020495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Melakukan penelaahan atas ketaatan Perseroan terhadap peraturan perundang-undangan di bidang Pasar Modal dan peraturan perundang-undangan lainnya yang berhubungan dengan kegiatan Perseroan;</w:t>
      </w:r>
    </w:p>
    <w:p w:rsidR="00204954" w:rsidRDefault="00204954" w:rsidP="0020495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Melakukan penelaahan atas pelaksanaan pemeriksaanoleh auditor internal terhadap Perseroan;</w:t>
      </w:r>
    </w:p>
    <w:p w:rsidR="00204954" w:rsidRDefault="00204954" w:rsidP="0020495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Melaporkan kepada Dewan Komisaris berbagai risiko yang dihadapi Perseroan dan pelaksanaan manajemen risiko oleh Direksi;</w:t>
      </w:r>
    </w:p>
    <w:p w:rsidR="00204954" w:rsidRDefault="00204954" w:rsidP="0020495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Melakukan penelaahan dan melaporkan kepada Dewan Komisaris atas pengaduan yang berkaitan dengan Perseroan; dan</w:t>
      </w:r>
    </w:p>
    <w:p w:rsidR="00204954" w:rsidRDefault="00204954" w:rsidP="0020495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Gotham-Book"/>
          <w:color w:val="000000"/>
          <w:sz w:val="24"/>
          <w:szCs w:val="24"/>
        </w:rPr>
      </w:pPr>
    </w:p>
    <w:p w:rsidR="00204954" w:rsidRPr="00297C39" w:rsidRDefault="00204954" w:rsidP="002049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297C39">
        <w:rPr>
          <w:rFonts w:cs="Gotham-Book"/>
          <w:color w:val="000000"/>
          <w:sz w:val="24"/>
          <w:szCs w:val="24"/>
        </w:rPr>
        <w:t>Menjaga kerahasiaan dokumen, data dan informasi yang dimiliki Perseroan.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7E2068">
        <w:rPr>
          <w:rFonts w:cs="Gotham-Ultra"/>
          <w:color w:val="7D0000"/>
          <w:sz w:val="24"/>
          <w:szCs w:val="24"/>
        </w:rPr>
        <w:t>KOMPOSISI KOMITE AUDIT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Berdasarkan Surat Keputusan Dewan Komisaris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No.</w:t>
      </w:r>
      <w:r>
        <w:rPr>
          <w:rFonts w:cs="Gotham-Book"/>
          <w:color w:val="000000"/>
          <w:sz w:val="24"/>
          <w:szCs w:val="24"/>
        </w:rPr>
        <w:t>:</w:t>
      </w:r>
      <w:r w:rsidRPr="007E2068">
        <w:rPr>
          <w:rFonts w:cs="Gotham-Book"/>
          <w:color w:val="000000"/>
          <w:sz w:val="24"/>
          <w:szCs w:val="24"/>
        </w:rPr>
        <w:t xml:space="preserve"> SK.005/DEKOM/XII/2014 </w:t>
      </w:r>
      <w:r>
        <w:rPr>
          <w:rFonts w:cs="Gotham-Book"/>
          <w:color w:val="000000"/>
          <w:sz w:val="24"/>
          <w:szCs w:val="24"/>
        </w:rPr>
        <w:t>ter</w:t>
      </w:r>
      <w:r w:rsidRPr="007E2068">
        <w:rPr>
          <w:rFonts w:cs="Gotham-Book"/>
          <w:color w:val="000000"/>
          <w:sz w:val="24"/>
          <w:szCs w:val="24"/>
        </w:rPr>
        <w:t>tanggal 22 Desember 2014,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Perseroan telah memiliki Komite Audit yang diketuai oleh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Komisaris Independen dan 2 (dua) orang anggota dari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eksternal Perseroan, yaitu: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1. Ilham Akbar Habibie sebagai ketua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2. Ridwan Amsori sebagai anggota; dan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3. Arydhian B. Djamin sebagai anggota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7E2068">
        <w:rPr>
          <w:rFonts w:cs="Gotham-Ultra"/>
          <w:color w:val="7D0000"/>
          <w:sz w:val="24"/>
          <w:szCs w:val="24"/>
        </w:rPr>
        <w:t>MASA JABATAN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Masa jabatan Ketua Komite Audit sama dengan masa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jabatannya sebagai Komisaris Independen, sedangkan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anggota Komite diangkat dengan masa jabatan 3 (tiga)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tahun.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7E2068">
        <w:rPr>
          <w:rFonts w:cs="Gotham-Ultra"/>
          <w:color w:val="7D0000"/>
          <w:sz w:val="24"/>
          <w:szCs w:val="24"/>
        </w:rPr>
        <w:t>ILHAM A. HABIBIE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Medium"/>
          <w:color w:val="FF050A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>Menjabat sebagai Ketua Komite Audit Perseroan sejak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bulan Februari 2014.</w:t>
      </w:r>
    </w:p>
    <w:p w:rsidR="00204954" w:rsidRPr="007E2068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BC0E95">
        <w:rPr>
          <w:rFonts w:cs="Gotham-Book"/>
          <w:color w:val="5B9BD5" w:themeColor="accent1"/>
          <w:sz w:val="24"/>
          <w:szCs w:val="24"/>
          <w:u w:val="single"/>
        </w:rPr>
        <w:t>Profil Bapak Ilham A. Habibie</w:t>
      </w:r>
      <w:r w:rsidRPr="007E2068">
        <w:rPr>
          <w:rFonts w:cs="Gotham-Book"/>
          <w:color w:val="000000"/>
          <w:sz w:val="24"/>
          <w:szCs w:val="24"/>
        </w:rPr>
        <w:t xml:space="preserve"> dapat dilihat pada bagian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Profil Dewan Komisaris.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  <w:bookmarkStart w:id="0" w:name="_GoBack"/>
      <w:bookmarkEnd w:id="0"/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A95EA5">
        <w:rPr>
          <w:rFonts w:cs="Gotham-Ultra"/>
          <w:color w:val="7D0000"/>
          <w:sz w:val="24"/>
          <w:szCs w:val="24"/>
        </w:rPr>
        <w:lastRenderedPageBreak/>
        <w:t>RIDWAN AMSORI</w:t>
      </w: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Warga negara Indonesia, lahir di Jakarta tahun 1980,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memperoleh gelar Sarjana Ekonomi dari Universitas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Trisakti jurusan Akuntansi. Menjabat sebagai anggota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Komite Audit Perseroan sejak bulan Februari 2014 sampai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dengan saat ini.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RIWAYAT JABATAN DAN PENGALAMAN KERJA</w:t>
      </w: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Menjabat sebagai koordinator program Yayasan Satu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Untuk Negeri tvOne (2012–Februari 2014), Manajer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Yunior Auditor PT Bakrie Global Ventura (2012–Februari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2014), Auditor Senior PT Capital Manajer Asia Indonesia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(2011–2012), Manager Pembiayaan Konsumen PT CIMB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Niaga Tbk. (2006–2010), Penjualan PT Bank Niaga Tbk.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(2004–2006), Pegawai bagian Akuntansi PT Rumsitor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Tehnik (2003–2004).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A95EA5">
        <w:rPr>
          <w:rFonts w:cs="Gotham-Ultra"/>
          <w:color w:val="7D0000"/>
          <w:sz w:val="24"/>
          <w:szCs w:val="24"/>
        </w:rPr>
        <w:t>ARYDHIAN B. DJAMIN</w:t>
      </w: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Warga negara Indonesia lahir di Padang tahun 1975,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memperoleh gelar Sarjana Ekonomi dari Universitas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Indonesia dan memperoleh gelar Magister Ekonomi dari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Universitas Indonesia. Menjabat sebagai anggota Komite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Audit Perseroan sejak bulan Desember 2014 sampai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dengan saat.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RIWAYAT JABATAN DAN PENGALAMAN KERJA</w:t>
      </w:r>
    </w:p>
    <w:p w:rsidR="00204954" w:rsidRPr="00A95EA5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Menjabat sebagai dosen di Institut Perbanas(2008-sekarang, anggota komite audit di PT Exploitasi Energi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Indonesia Tbk. (2013–sekarang), bagian keuangan pada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Balai Pustaka (2006–2007), Junior Partner Audit di RSM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AAJ Associates Public Accounting Firm (1999–2006),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Dosen di Perbanas Institute (2008–sekarang), dosen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di Universitas Indonesia (2000–2006), dan dosen di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Universitas Bina Nusantara (2002).</w:t>
      </w:r>
    </w:p>
    <w:p w:rsidR="00204954" w:rsidRDefault="00204954" w:rsidP="00204954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BB3B50" w:rsidRDefault="00BB3B50"/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B9A"/>
    <w:multiLevelType w:val="hybridMultilevel"/>
    <w:tmpl w:val="F72A9832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54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D4E81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4954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043F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8FA9-B32C-4A8B-A906-53503EFE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95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2016-05-27T14:34:00Z</dcterms:created>
  <dcterms:modified xsi:type="dcterms:W3CDTF">2016-05-27T14:34:00Z</dcterms:modified>
</cp:coreProperties>
</file>