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numPr>
          <w:ilvl w:val="0"/>
          <w:numId w:val="1"/>
        </w:numPr>
        <w:rPr/>
      </w:pPr>
      <w:r>
        <w:rPr/>
        <w:t>Change theme to custom &gt; no action bar</w:t>
      </w:r>
    </w:p>
    <w:p>
      <w:pPr>
        <w:pStyle w:val="Normal"/>
        <w:rPr/>
      </w:pPr>
      <w:r>
        <w:rPr/>
        <w:t>style &gt; theme &gt; no action bar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530" cy="2905125"/>
            <wp:effectExtent l="0" t="0" r="0" b="0"/>
            <wp:wrapTopAndBottom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buat lay out untuk tool bar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276225</wp:posOffset>
            </wp:positionH>
            <wp:positionV relativeFrom="paragraph">
              <wp:posOffset>0</wp:posOffset>
            </wp:positionV>
            <wp:extent cx="5891530" cy="2837815"/>
            <wp:effectExtent l="0" t="0" r="0" b="0"/>
            <wp:wrapTopAndBottom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masuk ke toolbar_layout.xml &gt; lalu masukan code seperti di bawah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91175" cy="238125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go to activiti2main.xml &gt; hapus padding dan include layout tool bar ked alam lay out main2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530" cy="4025900"/>
            <wp:effectExtent l="0" t="0" r="0" b="0"/>
            <wp:wrapTopAndBottom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402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go to main activity.java &gt; lalu wiring tool bar</w:t>
        <w:b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455295</wp:posOffset>
            </wp:positionH>
            <wp:positionV relativeFrom="paragraph">
              <wp:posOffset>276860</wp:posOffset>
            </wp:positionV>
            <wp:extent cx="5381625" cy="3276600"/>
            <wp:effectExtent l="0" t="0" r="0" b="0"/>
            <wp:wrapTopAndBottom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tambahkan navigation view ke main xml</w:t>
      </w:r>
    </w:p>
    <w:p>
      <w:pPr>
        <w:pStyle w:val="Normal"/>
        <w:rPr/>
      </w:pPr>
      <w:r>
        <w:rPr/>
        <w:t>goto main.xml &gt; change root element to drawyer lay out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05475" cy="4743450"/>
            <wp:effectExtent l="0" t="0" r="0" b="0"/>
            <wp:wrapTopAndBottom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tambahkan navigation view ke lay out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33850" cy="3181350"/>
            <wp:effectExtent l="0" t="0" r="0" b="0"/>
            <wp:wrapTopAndBottom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tambahkan event grafity &gt; berfungsi sebagai listener action hide and show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57725" cy="714375"/>
            <wp:effectExtent l="0" t="0" r="0" b="0"/>
            <wp:wrapTopAndBottom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tambahkan ikon ke drawable untuk source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523875</wp:posOffset>
            </wp:positionH>
            <wp:positionV relativeFrom="paragraph">
              <wp:posOffset>66675</wp:posOffset>
            </wp:positionV>
            <wp:extent cx="2638425" cy="1428750"/>
            <wp:effectExtent l="0" t="0" r="0" b="0"/>
            <wp:wrapTopAndBottom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tambahkan direktori pada root aplikasi untuk menampung navigation drawer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530" cy="2839085"/>
            <wp:effectExtent l="0" t="0" r="0" b="0"/>
            <wp:wrapTopAndBottom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masuk ke drawer_menu.xml lalu liking xml dengan kontenya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24475" cy="5114925"/>
            <wp:effectExtent l="0" t="0" r="0" b="0"/>
            <wp:wrapTopAndBottom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add menu to navigation view</w:t>
      </w:r>
    </w:p>
    <w:p>
      <w:pPr>
        <w:pStyle w:val="Normal"/>
        <w:rPr/>
      </w:pPr>
      <w:r>
        <w:rPr/>
        <w:t>goto main.xml &gt; add name space &gt; app &gt; res-auto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24475" cy="1162050"/>
            <wp:effectExtent l="0" t="0" r="0" b="0"/>
            <wp:wrapTopAndBottom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ab/>
        <w:t>add menu to navigation view</w:t>
      </w:r>
    </w:p>
    <w:p>
      <w:pPr>
        <w:pStyle w:val="Normal"/>
        <w:rPr/>
      </w:pPr>
      <w:r>
        <w:rPr/>
        <w:tab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29150" cy="714375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en-US" w:eastAsia="zh-CN" w:bidi="hi-IN"/>
    </w:rPr>
  </w:style>
  <w:style w:type="character" w:styleId="NumberingSymbols">
    <w:name w:val="Numbering Symbols"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2016-09-15T08:47:29Z</dcterms:created>
  <dc:language>en-US</dc:language>
  <cp:revision>0</cp:revision>
</cp:coreProperties>
</file>