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865"/>
        <w:jc w:val="left"/>
        <w:tblBorders>
          <w:top w:val="nil"/>
          <w:left w:val="nil"/>
          <w:bottom w:val="nil"/>
          <w:right w:val="nil"/>
          <w:insideH w:val="nil"/>
          <w:insideV w:val="nil"/>
        </w:tblBorders>
        <w:tblLayout w:type="fixed"/>
        <w:tblLook w:firstColumn="1" w:firstRow="1" w:lastColumn="0" w:lastRow="0" w:noHBand="0" w:noVBand="1" w:val="04A0"/>
      </w:tblPr>
      <w:tblGrid>
        <w:gridCol w:w="9865"/>
      </w:tblGrid>
      <w:tr>
        <w:tc>
          <w:tcPr>
            <w:tcW w:type="dxa" w:w="9865"/>
            <w:tcBorders>
              <w:bottom w:val="single" w:sz="24" w:space="0" w:color="D4A23A"/>
            </w:tcBorders>
            <w:shd w:val="clear" w:color="auto" w:fill="0F2742"/>
            <w:tcMar>
              <w:top w:w="420" w:type="dxa"/>
              <w:left w:w="360" w:type="dxa"/>
              <w:bottom w:w="440" w:type="dxa"/>
              <w:right w:w="360" w:type="dxa"/>
            </w:tcMar>
          </w:tcPr>
          <w:p>
            <w:pPr>
              <w:spacing w:before="0" w:after="200" w:line="240" w:lineRule="auto"/>
            </w:pPr>
            <w:r>
              <w:rPr>
                <w:b/>
                <w:color w:val="D4A23A"/>
                <w:spacing w:val="30"/>
                <w:sz w:val="18"/>
              </w:rPr>
              <w:t>ECOENERGY CONSULTANCY</w:t>
            </w:r>
          </w:p>
          <w:p>
            <w:pPr>
              <w:spacing w:before="0" w:after="160" w:line="240" w:lineRule="auto"/>
            </w:pPr>
            <w:r>
              <w:rPr>
                <w:b/>
                <w:color w:val="FFFFFF"/>
                <w:sz w:val="56"/>
              </w:rPr>
              <w:t>Desktop Terrain Screening</w:t>
            </w:r>
          </w:p>
          <w:p>
            <w:pPr>
              <w:spacing w:before="0" w:after="40" w:line="240" w:lineRule="auto"/>
            </w:pPr>
            <w:r>
              <w:rPr>
                <w:b/>
                <w:color w:val="FFFFFF"/>
                <w:sz w:val="30"/>
              </w:rPr>
              <w:t>Kota Setar paddy, Lot A</w:t>
            </w:r>
          </w:p>
          <w:p>
            <w:pPr>
              <w:spacing w:before="0" w:after="280" w:line="240" w:lineRule="auto"/>
            </w:pPr>
            <w:r>
              <w:rPr>
                <w:b w:val="0"/>
                <w:color w:val="AFBFCF"/>
                <w:sz w:val="21"/>
              </w:rPr>
              <w:t>Kota Setar, Kedah</w:t>
            </w:r>
          </w:p>
          <w:p>
            <w:pPr>
              <w:spacing w:before="0" w:after="0" w:line="240" w:lineRule="auto"/>
            </w:pPr>
            <w:r>
              <w:rPr>
                <w:b/>
                <w:color w:val="0F2742"/>
                <w:spacing w:val="16"/>
                <w:sz w:val="17"/>
                <w:shd w:val="clear" w:color="auto" w:fill="D4A23A"/>
              </w:rPr>
              <w:t xml:space="preserve">  SCREENING GRADE — NOT A SURVEY  </w:t>
            </w:r>
          </w:p>
        </w:tc>
      </w:tr>
    </w:tbl>
    <w:p>
      <w:pPr>
        <w:spacing w:before="0" w:after="0" w:line="280" w:lineRule="exact"/>
      </w:pPr>
      <w:r>
        <w:rPr>
          <w:sz w:val="28"/>
        </w:rPr>
      </w:r>
    </w:p>
    <w:tbl>
      <w:tblPr>
        <w:tblW w:type="dxa" w:w="9865"/>
        <w:jc w:val="left"/>
        <w:tblBorders>
          <w:top w:val="single" w:sz="8" w:space="0" w:color="0F2742"/>
          <w:left w:val="nil"/>
          <w:bottom w:val="single" w:sz="8" w:space="0" w:color="0F2742"/>
          <w:right w:val="nil"/>
          <w:insideH w:val="single" w:sz="4" w:space="0" w:color="D6DCE3"/>
          <w:insideV w:val="nil"/>
        </w:tblBorders>
        <w:tblLayout w:type="fixed"/>
        <w:tblCellMar>
          <w:top w:w="85" w:type="dxa"/>
          <w:left w:w="130" w:type="dxa"/>
          <w:bottom w:w="85" w:type="dxa"/>
          <w:right w:w="130" w:type="dxa"/>
        </w:tblCellMar>
        <w:tblLook w:firstColumn="1" w:firstRow="1" w:lastColumn="0" w:lastRow="0" w:noHBand="0" w:noVBand="1" w:val="04A0"/>
      </w:tblPr>
      <w:tblGrid>
        <w:gridCol w:w="2861"/>
        <w:gridCol w:w="7004"/>
      </w:tblGrid>
      <w:tr>
        <w:tc>
          <w:tcPr>
            <w:tcW w:type="dxa" w:w="2861"/>
            <w:shd w:val="clear" w:color="auto" w:fill="F6F3ED"/>
            <w:vAlign w:val="center"/>
          </w:tcPr>
          <w:p>
            <w:pPr>
              <w:spacing w:before="0" w:after="0" w:line="240" w:lineRule="auto"/>
              <w:jc w:val="left"/>
            </w:pPr>
            <w:r>
              <w:rPr>
                <w:b/>
                <w:i w:val="0"/>
                <w:color w:val="48586C"/>
                <w:sz w:val="17"/>
              </w:rPr>
              <w:t>Report ID</w:t>
            </w:r>
          </w:p>
        </w:tc>
        <w:tc>
          <w:tcPr>
            <w:tcW w:type="dxa" w:w="7004"/>
            <w:shd w:val="clear" w:color="auto" w:fill="F6F3ED"/>
            <w:vAlign w:val="center"/>
          </w:tcPr>
          <w:p>
            <w:pPr>
              <w:spacing w:before="0" w:after="0" w:line="240" w:lineRule="auto"/>
              <w:jc w:val="left"/>
            </w:pPr>
            <w:r>
              <w:rPr>
                <w:b w:val="0"/>
                <w:i w:val="0"/>
                <w:color w:val="12233A"/>
                <w:sz w:val="18"/>
              </w:rPr>
              <w:t>BEq_flm-piWOPpdDonFm2w</w:t>
            </w:r>
          </w:p>
        </w:tc>
      </w:tr>
      <w:tr>
        <w:tc>
          <w:tcPr>
            <w:tcW w:type="dxa" w:w="2861"/>
            <w:vAlign w:val="center"/>
          </w:tcPr>
          <w:p>
            <w:pPr>
              <w:spacing w:before="0" w:after="0" w:line="240" w:lineRule="auto"/>
              <w:jc w:val="left"/>
            </w:pPr>
            <w:r>
              <w:rPr>
                <w:b/>
                <w:i w:val="0"/>
                <w:color w:val="48586C"/>
                <w:sz w:val="17"/>
              </w:rPr>
              <w:t>Generated</w:t>
            </w:r>
          </w:p>
        </w:tc>
        <w:tc>
          <w:tcPr>
            <w:tcW w:type="dxa" w:w="7004"/>
            <w:vAlign w:val="center"/>
          </w:tcPr>
          <w:p>
            <w:pPr>
              <w:spacing w:before="0" w:after="0" w:line="240" w:lineRule="auto"/>
              <w:jc w:val="left"/>
            </w:pPr>
            <w:r>
              <w:rPr>
                <w:b w:val="0"/>
                <w:i w:val="0"/>
                <w:color w:val="12233A"/>
                <w:sz w:val="18"/>
              </w:rPr>
              <w:t>13 October 2026, 14:50 MYT</w:t>
            </w:r>
          </w:p>
        </w:tc>
      </w:tr>
      <w:tr>
        <w:tc>
          <w:tcPr>
            <w:tcW w:type="dxa" w:w="2861"/>
            <w:shd w:val="clear" w:color="auto" w:fill="F6F3ED"/>
            <w:vAlign w:val="center"/>
          </w:tcPr>
          <w:p>
            <w:pPr>
              <w:spacing w:before="0" w:after="0" w:line="240" w:lineRule="auto"/>
              <w:jc w:val="left"/>
            </w:pPr>
            <w:r>
              <w:rPr>
                <w:b/>
                <w:i w:val="0"/>
                <w:color w:val="48586C"/>
                <w:sz w:val="17"/>
              </w:rPr>
              <w:t>Site file</w:t>
            </w:r>
          </w:p>
        </w:tc>
        <w:tc>
          <w:tcPr>
            <w:tcW w:type="dxa" w:w="7004"/>
            <w:shd w:val="clear" w:color="auto" w:fill="F6F3ED"/>
            <w:vAlign w:val="center"/>
          </w:tcPr>
          <w:p>
            <w:pPr>
              <w:spacing w:before="0" w:after="0" w:line="240" w:lineRule="auto"/>
              <w:jc w:val="left"/>
            </w:pPr>
            <w:r>
              <w:rPr>
                <w:b w:val="0"/>
                <w:i w:val="0"/>
                <w:color w:val="12233A"/>
                <w:sz w:val="18"/>
              </w:rPr>
              <w:t>flat_site_kedah.kml</w:t>
            </w:r>
          </w:p>
        </w:tc>
      </w:tr>
      <w:tr>
        <w:tc>
          <w:tcPr>
            <w:tcW w:type="dxa" w:w="2861"/>
            <w:vAlign w:val="center"/>
          </w:tcPr>
          <w:p>
            <w:pPr>
              <w:spacing w:before="0" w:after="0" w:line="240" w:lineRule="auto"/>
              <w:jc w:val="left"/>
            </w:pPr>
            <w:r>
              <w:rPr>
                <w:b/>
                <w:i w:val="0"/>
                <w:color w:val="48586C"/>
                <w:sz w:val="17"/>
              </w:rPr>
              <w:t>Scheme</w:t>
            </w:r>
          </w:p>
        </w:tc>
        <w:tc>
          <w:tcPr>
            <w:tcW w:type="dxa" w:w="7004"/>
            <w:vAlign w:val="center"/>
          </w:tcPr>
          <w:p>
            <w:pPr>
              <w:spacing w:before="0" w:after="0" w:line="240" w:lineRule="auto"/>
              <w:jc w:val="left"/>
            </w:pPr>
            <w:r>
              <w:rPr>
                <w:b w:val="0"/>
                <w:i w:val="0"/>
                <w:color w:val="12233A"/>
                <w:sz w:val="18"/>
              </w:rPr>
              <w:t>Large Scale Solar (LSS)</w:t>
            </w:r>
          </w:p>
        </w:tc>
      </w:tr>
      <w:tr>
        <w:tc>
          <w:tcPr>
            <w:tcW w:type="dxa" w:w="2861"/>
            <w:shd w:val="clear" w:color="auto" w:fill="F6F3ED"/>
            <w:vAlign w:val="center"/>
          </w:tcPr>
          <w:p>
            <w:pPr>
              <w:spacing w:before="0" w:after="0" w:line="240" w:lineRule="auto"/>
              <w:jc w:val="left"/>
            </w:pPr>
            <w:r>
              <w:rPr>
                <w:b/>
                <w:i w:val="0"/>
                <w:color w:val="48586C"/>
                <w:sz w:val="17"/>
              </w:rPr>
              <w:t>Project stage</w:t>
            </w:r>
          </w:p>
        </w:tc>
        <w:tc>
          <w:tcPr>
            <w:tcW w:type="dxa" w:w="7004"/>
            <w:shd w:val="clear" w:color="auto" w:fill="F6F3ED"/>
            <w:vAlign w:val="center"/>
          </w:tcPr>
          <w:p>
            <w:pPr>
              <w:spacing w:before="0" w:after="0" w:line="240" w:lineRule="auto"/>
              <w:jc w:val="left"/>
            </w:pPr>
            <w:r>
              <w:rPr>
                <w:b w:val="0"/>
                <w:i w:val="0"/>
                <w:color w:val="12233A"/>
                <w:sz w:val="18"/>
              </w:rPr>
              <w:t>Exploring options</w:t>
            </w:r>
          </w:p>
        </w:tc>
      </w:tr>
      <w:tr>
        <w:tc>
          <w:tcPr>
            <w:tcW w:type="dxa" w:w="2861"/>
            <w:vAlign w:val="center"/>
          </w:tcPr>
          <w:p>
            <w:pPr>
              <w:spacing w:before="0" w:after="0" w:line="240" w:lineRule="auto"/>
              <w:jc w:val="left"/>
            </w:pPr>
            <w:r>
              <w:rPr>
                <w:b/>
                <w:i w:val="0"/>
                <w:color w:val="48586C"/>
                <w:sz w:val="17"/>
              </w:rPr>
              <w:t>Centroid</w:t>
            </w:r>
          </w:p>
        </w:tc>
        <w:tc>
          <w:tcPr>
            <w:tcW w:type="dxa" w:w="7004"/>
            <w:vAlign w:val="center"/>
          </w:tcPr>
          <w:p>
            <w:pPr>
              <w:spacing w:before="0" w:after="0" w:line="240" w:lineRule="auto"/>
              <w:jc w:val="left"/>
            </w:pPr>
            <w:r>
              <w:rPr>
                <w:b w:val="0"/>
                <w:i w:val="0"/>
                <w:color w:val="12233A"/>
                <w:sz w:val="18"/>
              </w:rPr>
              <w:t>6.04221° N, 100.35545° E</w:t>
            </w:r>
          </w:p>
        </w:tc>
      </w:tr>
    </w:tbl>
    <w:p>
      <w:pPr>
        <w:spacing w:before="0" w:after="0" w:line="80" w:lineRule="exact"/>
      </w:pPr>
      <w:r>
        <w:rPr>
          <w:sz w:val="8"/>
        </w:rPr>
      </w:r>
    </w:p>
    <w:p>
      <w:pPr>
        <w:pStyle w:val="Heading1"/>
      </w:pPr>
      <w:r>
        <w:t>About this report</w:t>
      </w:r>
    </w:p>
    <w:p>
      <w:r>
        <w:rPr>
          <w:i w:val="0"/>
          <w:color w:val="12233A"/>
          <w:sz w:val="22"/>
        </w:rPr>
        <w:t>This desktop screening summarises the terrain inside the boundaries supplied in flat_site_kedah.kml, using the Copernicus DEM GLO-30. It is meant for comparing candidate sites at an early stage and for deciding which surveys and studies to commission next.</w:t>
      </w:r>
    </w:p>
    <w:p>
      <w:r>
        <w:rPr>
          <w:i w:val="0"/>
          <w:color w:val="12233A"/>
          <w:sz w:val="20"/>
        </w:rPr>
        <w:t>It reports the area, elevation and slope of each site, the share of each site in the KPKT hill-land slope classes, rule-based findings and recommended follow-up studies. Every finding is generated automatically from the elevation data by fixed rules; nobody has visited the site.</w:t>
      </w:r>
    </w:p>
    <w:p>
      <w:r>
        <w:rPr>
          <w:i/>
          <w:color w:val="48586C"/>
          <w:sz w:val="17"/>
        </w:rPr>
        <w:t>Read the caveats and the disclaimer at the end of the report before relying on any figure in it.</w:t>
      </w:r>
    </w:p>
    <w:p>
      <w:pPr>
        <w:pStyle w:val="Heading1"/>
        <w:pageBreakBefore/>
      </w:pPr>
      <w:r>
        <w:t>At a glance</w:t>
      </w:r>
    </w:p>
    <w:tbl>
      <w:tblPr>
        <w:tblW w:type="dxa" w:w="9865"/>
        <w:jc w:val="left"/>
        <w:tblBorders>
          <w:top w:val="single" w:sz="8" w:space="0" w:color="0F2742"/>
          <w:left w:val="nil"/>
          <w:bottom w:val="single" w:sz="8" w:space="0" w:color="0F2742"/>
          <w:right w:val="nil"/>
          <w:insideH w:val="single" w:sz="4" w:space="0" w:color="D6DCE3"/>
          <w:insideV w:val="nil"/>
        </w:tblBorders>
        <w:tblLayout w:type="fixed"/>
        <w:tblCellMar>
          <w:top w:w="85" w:type="dxa"/>
          <w:left w:w="130" w:type="dxa"/>
          <w:bottom w:w="85" w:type="dxa"/>
          <w:right w:w="130" w:type="dxa"/>
        </w:tblCellMar>
        <w:tblLook w:firstColumn="1" w:firstRow="1" w:lastColumn="0" w:lastRow="0" w:noHBand="0" w:noVBand="1" w:val="04A0"/>
      </w:tblPr>
      <w:tblGrid>
        <w:gridCol w:w="2861"/>
        <w:gridCol w:w="7004"/>
      </w:tblGrid>
      <w:tr>
        <w:tc>
          <w:tcPr>
            <w:tcW w:type="dxa" w:w="2861"/>
            <w:shd w:val="clear" w:color="auto" w:fill="F6F3ED"/>
            <w:vAlign w:val="center"/>
          </w:tcPr>
          <w:p>
            <w:pPr>
              <w:spacing w:before="0" w:after="0" w:line="240" w:lineRule="auto"/>
              <w:jc w:val="left"/>
            </w:pPr>
            <w:r>
              <w:rPr>
                <w:b/>
                <w:i w:val="0"/>
                <w:color w:val="48586C"/>
                <w:sz w:val="17"/>
              </w:rPr>
              <w:t>Location</w:t>
            </w:r>
          </w:p>
        </w:tc>
        <w:tc>
          <w:tcPr>
            <w:tcW w:type="dxa" w:w="7004"/>
            <w:shd w:val="clear" w:color="auto" w:fill="F6F3ED"/>
            <w:vAlign w:val="center"/>
          </w:tcPr>
          <w:p>
            <w:pPr>
              <w:spacing w:before="0" w:after="0" w:line="240" w:lineRule="auto"/>
              <w:jc w:val="left"/>
            </w:pPr>
            <w:r>
              <w:rPr>
                <w:b w:val="0"/>
                <w:i w:val="0"/>
                <w:color w:val="12233A"/>
                <w:sz w:val="18"/>
              </w:rPr>
              <w:t>Kota Setar, Kedah</w:t>
            </w:r>
          </w:p>
        </w:tc>
      </w:tr>
      <w:tr>
        <w:tc>
          <w:tcPr>
            <w:tcW w:type="dxa" w:w="2861"/>
            <w:vAlign w:val="center"/>
          </w:tcPr>
          <w:p>
            <w:pPr>
              <w:spacing w:before="0" w:after="0" w:line="240" w:lineRule="auto"/>
              <w:jc w:val="left"/>
            </w:pPr>
            <w:r>
              <w:rPr>
                <w:b/>
                <w:i w:val="0"/>
                <w:color w:val="48586C"/>
                <w:sz w:val="17"/>
              </w:rPr>
              <w:t>Total site area</w:t>
            </w:r>
          </w:p>
        </w:tc>
        <w:tc>
          <w:tcPr>
            <w:tcW w:type="dxa" w:w="7004"/>
            <w:vAlign w:val="center"/>
          </w:tcPr>
          <w:p>
            <w:pPr>
              <w:spacing w:before="0" w:after="0" w:line="240" w:lineRule="auto"/>
              <w:jc w:val="left"/>
            </w:pPr>
            <w:r>
              <w:rPr>
                <w:b w:val="0"/>
                <w:i w:val="0"/>
                <w:color w:val="12233A"/>
                <w:sz w:val="18"/>
              </w:rPr>
              <w:t>42.16 ha</w:t>
            </w:r>
          </w:p>
        </w:tc>
      </w:tr>
      <w:tr>
        <w:tc>
          <w:tcPr>
            <w:tcW w:type="dxa" w:w="2861"/>
            <w:shd w:val="clear" w:color="auto" w:fill="F6F3ED"/>
            <w:vAlign w:val="center"/>
          </w:tcPr>
          <w:p>
            <w:pPr>
              <w:spacing w:before="0" w:after="0" w:line="240" w:lineRule="auto"/>
              <w:jc w:val="left"/>
            </w:pPr>
            <w:r>
              <w:rPr>
                <w:b/>
                <w:i w:val="0"/>
                <w:color w:val="48586C"/>
                <w:sz w:val="17"/>
              </w:rPr>
              <w:t>Features analysed</w:t>
            </w:r>
          </w:p>
        </w:tc>
        <w:tc>
          <w:tcPr>
            <w:tcW w:type="dxa" w:w="7004"/>
            <w:shd w:val="clear" w:color="auto" w:fill="F6F3ED"/>
            <w:vAlign w:val="center"/>
          </w:tcPr>
          <w:p>
            <w:pPr>
              <w:spacing w:before="0" w:after="0" w:line="240" w:lineRule="auto"/>
              <w:jc w:val="left"/>
            </w:pPr>
            <w:r>
              <w:rPr>
                <w:b w:val="0"/>
                <w:i w:val="0"/>
                <w:color w:val="12233A"/>
                <w:sz w:val="18"/>
              </w:rPr>
              <w:t>1 site · 1 route (2.03 km) · 1 point</w:t>
            </w:r>
          </w:p>
        </w:tc>
      </w:tr>
      <w:tr>
        <w:tc>
          <w:tcPr>
            <w:tcW w:type="dxa" w:w="2861"/>
            <w:vAlign w:val="center"/>
          </w:tcPr>
          <w:p>
            <w:pPr>
              <w:spacing w:before="0" w:after="0" w:line="240" w:lineRule="auto"/>
              <w:jc w:val="left"/>
            </w:pPr>
            <w:r>
              <w:rPr>
                <w:b/>
                <w:i w:val="0"/>
                <w:color w:val="48586C"/>
                <w:sz w:val="17"/>
              </w:rPr>
              <w:t>Elevation range</w:t>
            </w:r>
          </w:p>
        </w:tc>
        <w:tc>
          <w:tcPr>
            <w:tcW w:type="dxa" w:w="7004"/>
            <w:vAlign w:val="center"/>
          </w:tcPr>
          <w:p>
            <w:pPr>
              <w:spacing w:before="0" w:after="0" w:line="240" w:lineRule="auto"/>
              <w:jc w:val="left"/>
            </w:pPr>
            <w:r>
              <w:rPr>
                <w:b w:val="0"/>
                <w:i w:val="0"/>
                <w:color w:val="12233A"/>
                <w:sz w:val="18"/>
              </w:rPr>
              <w:t>1.2–5.4 m (EGM2008)</w:t>
            </w:r>
          </w:p>
        </w:tc>
      </w:tr>
      <w:tr>
        <w:tc>
          <w:tcPr>
            <w:tcW w:type="dxa" w:w="2861"/>
            <w:shd w:val="clear" w:color="auto" w:fill="F6F3ED"/>
            <w:vAlign w:val="center"/>
          </w:tcPr>
          <w:p>
            <w:pPr>
              <w:spacing w:before="0" w:after="0" w:line="240" w:lineRule="auto"/>
              <w:jc w:val="left"/>
            </w:pPr>
            <w:r>
              <w:rPr>
                <w:b/>
                <w:i w:val="0"/>
                <w:color w:val="48586C"/>
                <w:sz w:val="17"/>
              </w:rPr>
              <w:t>Overall KPKT split</w:t>
            </w:r>
          </w:p>
        </w:tc>
        <w:tc>
          <w:tcPr>
            <w:tcW w:type="dxa" w:w="7004"/>
            <w:shd w:val="clear" w:color="auto" w:fill="F6F3ED"/>
            <w:vAlign w:val="center"/>
          </w:tcPr>
          <w:p>
            <w:pPr>
              <w:spacing w:before="0" w:after="0" w:line="240" w:lineRule="auto"/>
              <w:jc w:val="left"/>
            </w:pPr>
            <w:r>
              <w:rPr>
                <w:b w:val="0"/>
                <w:i w:val="0"/>
                <w:color w:val="12233A"/>
                <w:sz w:val="18"/>
              </w:rPr>
              <w:t>Class I 100.0% · Class II 0.0% · Class III 0.0% · Class IV 0.0%</w:t>
            </w:r>
          </w:p>
        </w:tc>
      </w:tr>
      <w:tr>
        <w:tc>
          <w:tcPr>
            <w:tcW w:type="dxa" w:w="2861"/>
            <w:vAlign w:val="center"/>
          </w:tcPr>
          <w:p>
            <w:pPr>
              <w:spacing w:before="0" w:after="0" w:line="240" w:lineRule="auto"/>
              <w:jc w:val="left"/>
            </w:pPr>
            <w:r>
              <w:rPr>
                <w:b/>
                <w:i w:val="0"/>
                <w:color w:val="48586C"/>
                <w:sz w:val="17"/>
              </w:rPr>
              <w:t>Maximum slope</w:t>
            </w:r>
          </w:p>
        </w:tc>
        <w:tc>
          <w:tcPr>
            <w:tcW w:type="dxa" w:w="7004"/>
            <w:vAlign w:val="center"/>
          </w:tcPr>
          <w:p>
            <w:pPr>
              <w:spacing w:before="0" w:after="0" w:line="240" w:lineRule="auto"/>
              <w:jc w:val="left"/>
            </w:pPr>
            <w:r>
              <w:rPr>
                <w:b w:val="0"/>
                <w:i w:val="0"/>
                <w:color w:val="12233A"/>
                <w:sz w:val="18"/>
              </w:rPr>
              <w:t>3.9° (in “Lot A paddy”)</w:t>
            </w:r>
          </w:p>
        </w:tc>
      </w:tr>
      <w:tr>
        <w:tc>
          <w:tcPr>
            <w:tcW w:type="dxa" w:w="2861"/>
            <w:shd w:val="clear" w:color="auto" w:fill="F6F3ED"/>
            <w:vAlign w:val="center"/>
          </w:tcPr>
          <w:p>
            <w:pPr>
              <w:spacing w:before="0" w:after="0" w:line="240" w:lineRule="auto"/>
              <w:jc w:val="left"/>
            </w:pPr>
            <w:r>
              <w:rPr>
                <w:b/>
                <w:i w:val="0"/>
                <w:color w:val="48586C"/>
                <w:sz w:val="17"/>
              </w:rPr>
              <w:t>Findings</w:t>
            </w:r>
          </w:p>
        </w:tc>
        <w:tc>
          <w:tcPr>
            <w:tcW w:type="dxa" w:w="7004"/>
            <w:shd w:val="clear" w:color="auto" w:fill="F6F3ED"/>
            <w:vAlign w:val="center"/>
          </w:tcPr>
          <w:p>
            <w:pPr>
              <w:spacing w:before="0" w:after="0" w:line="240" w:lineRule="auto"/>
              <w:jc w:val="left"/>
            </w:pPr>
            <w:r>
              <w:rPr>
                <w:b w:val="0"/>
                <w:i w:val="0"/>
                <w:color w:val="12233A"/>
                <w:sz w:val="18"/>
              </w:rPr>
              <w:t>0 warnings · 0 cautions · 4 for information</w:t>
            </w:r>
          </w:p>
        </w:tc>
      </w:tr>
      <w:tr>
        <w:tc>
          <w:tcPr>
            <w:tcW w:type="dxa" w:w="2861"/>
            <w:vAlign w:val="center"/>
          </w:tcPr>
          <w:p>
            <w:pPr>
              <w:spacing w:before="0" w:after="0" w:line="240" w:lineRule="auto"/>
              <w:jc w:val="left"/>
            </w:pPr>
            <w:r>
              <w:rPr>
                <w:b/>
                <w:i w:val="0"/>
                <w:color w:val="48586C"/>
                <w:sz w:val="17"/>
              </w:rPr>
              <w:t>Elevation model (DEM)</w:t>
            </w:r>
          </w:p>
        </w:tc>
        <w:tc>
          <w:tcPr>
            <w:tcW w:type="dxa" w:w="7004"/>
            <w:vAlign w:val="center"/>
          </w:tcPr>
          <w:p>
            <w:pPr>
              <w:spacing w:before="0" w:after="0" w:line="240" w:lineRule="auto"/>
              <w:jc w:val="left"/>
            </w:pPr>
            <w:r>
              <w:rPr>
                <w:b w:val="0"/>
                <w:i w:val="0"/>
                <w:color w:val="12233A"/>
                <w:sz w:val="18"/>
              </w:rPr>
              <w:t>Copernicus DEM GLO-30 · DSM (surface model: includes tree canopy and buildings) · 30 m nominal, analysed at 30.7 m</w:t>
            </w:r>
          </w:p>
        </w:tc>
      </w:tr>
    </w:tbl>
    <w:p>
      <w:pPr>
        <w:spacing w:before="0" w:after="0" w:line="80" w:lineRule="exact"/>
      </w:pPr>
      <w:r>
        <w:rPr>
          <w:sz w:val="8"/>
        </w:rPr>
      </w:r>
    </w:p>
    <w:p>
      <w:pPr>
        <w:pStyle w:val="Heading1"/>
      </w:pPr>
      <w:r>
        <w:t>Findings</w:t>
      </w:r>
    </w:p>
    <w:p>
      <w:r>
        <w:rPr>
          <w:i/>
          <w:color w:val="48586C"/>
          <w:sz w:val="17"/>
        </w:rPr>
        <w:t>Each finding below is computed by fixed rules from the elevation data and is listed most severe first: warnings, then cautions, then information.</w:t>
      </w:r>
    </w:p>
    <w:tbl>
      <w:tblPr>
        <w:tblW w:type="dxa" w:w="9865"/>
        <w:jc w:val="left"/>
        <w:tblBorders>
          <w:top w:val="nil"/>
          <w:left w:val="nil"/>
          <w:bottom w:val="nil"/>
          <w:right w:val="nil"/>
          <w:insideH w:val="nil"/>
          <w:insideV w:val="nil"/>
        </w:tblBorders>
        <w:tblLayout w:type="fixed"/>
        <w:tblLook w:firstColumn="1" w:firstRow="1" w:lastColumn="0" w:lastRow="0" w:noHBand="0" w:noVBand="1" w:val="04A0"/>
      </w:tblPr>
      <w:tblGrid>
        <w:gridCol w:w="9865"/>
      </w:tblGrid>
      <w:tr>
        <w:tc>
          <w:tcPr>
            <w:tcW w:type="dxa" w:w="9865"/>
            <w:tcBorders>
              <w:left w:val="single" w:sz="36" w:space="0" w:color="0F2742"/>
            </w:tcBorders>
            <w:shd w:val="clear" w:color="auto" w:fill="EDF1F6"/>
            <w:tcMar>
              <w:top w:w="110" w:type="dxa"/>
              <w:left w:w="200" w:type="dxa"/>
              <w:bottom w:w="130" w:type="dxa"/>
              <w:right w:w="200" w:type="dxa"/>
            </w:tcMar>
          </w:tcPr>
          <w:p>
            <w:pPr>
              <w:spacing w:before="0" w:after="20" w:line="240" w:lineRule="auto"/>
            </w:pPr>
            <w:r>
              <w:rPr>
                <w:b/>
                <w:color w:val="0F2742"/>
                <w:spacing w:val="12"/>
                <w:sz w:val="14"/>
              </w:rPr>
              <w:t>INFORMATION</w:t>
            </w:r>
          </w:p>
          <w:p>
            <w:pPr>
              <w:spacing w:before="0" w:after="40" w:line="240" w:lineRule="auto"/>
            </w:pPr>
            <w:r>
              <w:rPr>
                <w:b/>
                <w:color w:val="12233A"/>
                <w:sz w:val="20"/>
              </w:rPr>
              <w:t>Site area screens as KPKT Class I by slope (below 15°)</w:t>
            </w:r>
          </w:p>
          <w:p>
            <w:pPr>
              <w:spacing w:before="0" w:after="0" w:line="276" w:lineRule="auto"/>
            </w:pPr>
            <w:r>
              <w:rPr>
                <w:color w:val="12233A"/>
                <w:sz w:val="18"/>
              </w:rPr>
              <w:t>No site has more than 0.5% of its area at 15° or steeper on this DEM, so by slope alone the land screens as KPKT Class I (low geotechnical constraint). Below 300 m the guideline lets all types of development be considered on Class I ground, subject to the local or development plan. This is a slope-based indication only: the guideline also places gentle ground in a higher class where it shows erosion or instability, lies on colluvium or other sensitive geological material, is limestone, swamp, peat or ex-mining land, or is under flood threat. A 30 m elevation model also smooths out short steep features such as bund faces, drain banks and cuttings.</w:t>
            </w:r>
          </w:p>
          <w:p>
            <w:pPr>
              <w:spacing w:before="60" w:after="0" w:line="240" w:lineRule="auto"/>
            </w:pPr>
            <w:r>
              <w:rPr>
                <w:i/>
                <w:color w:val="48586C"/>
                <w:sz w:val="15"/>
              </w:rPr>
              <w:t>Source: PLANMalaysia (then JPBD Semenanjung Malaysia, KPKT), Garis Panduan Perancangan Pembangunan di Kawasan Bukit dan Tanah Tinggi (2009), Jadual 1</w:t>
            </w:r>
          </w:p>
        </w:tc>
      </w:tr>
    </w:tbl>
    <w:p>
      <w:pPr>
        <w:spacing w:before="0" w:after="0" w:line="100" w:lineRule="exact"/>
      </w:pPr>
      <w:r>
        <w:rPr>
          <w:sz w:val="10"/>
        </w:rPr>
      </w:r>
    </w:p>
    <w:tbl>
      <w:tblPr>
        <w:tblW w:type="dxa" w:w="9865"/>
        <w:jc w:val="left"/>
        <w:tblBorders>
          <w:top w:val="nil"/>
          <w:left w:val="nil"/>
          <w:bottom w:val="nil"/>
          <w:right w:val="nil"/>
          <w:insideH w:val="nil"/>
          <w:insideV w:val="nil"/>
        </w:tblBorders>
        <w:tblLayout w:type="fixed"/>
        <w:tblLook w:firstColumn="1" w:firstRow="1" w:lastColumn="0" w:lastRow="0" w:noHBand="0" w:noVBand="1" w:val="04A0"/>
      </w:tblPr>
      <w:tblGrid>
        <w:gridCol w:w="9865"/>
      </w:tblGrid>
      <w:tr>
        <w:tc>
          <w:tcPr>
            <w:tcW w:type="dxa" w:w="9865"/>
            <w:tcBorders>
              <w:left w:val="single" w:sz="36" w:space="0" w:color="0F2742"/>
            </w:tcBorders>
            <w:shd w:val="clear" w:color="auto" w:fill="EDF1F6"/>
            <w:tcMar>
              <w:top w:w="110" w:type="dxa"/>
              <w:left w:w="200" w:type="dxa"/>
              <w:bottom w:w="130" w:type="dxa"/>
              <w:right w:w="200" w:type="dxa"/>
            </w:tcMar>
          </w:tcPr>
          <w:p>
            <w:pPr>
              <w:spacing w:before="0" w:after="20" w:line="240" w:lineRule="auto"/>
            </w:pPr>
            <w:r>
              <w:rPr>
                <w:b/>
                <w:color w:val="0F2742"/>
                <w:spacing w:val="12"/>
                <w:sz w:val="14"/>
              </w:rPr>
              <w:t>INFORMATION</w:t>
            </w:r>
          </w:p>
          <w:p>
            <w:pPr>
              <w:spacing w:before="0" w:after="40" w:line="240" w:lineRule="auto"/>
            </w:pPr>
            <w:r>
              <w:rPr>
                <w:b/>
                <w:color w:val="12233A"/>
                <w:sz w:val="20"/>
              </w:rPr>
              <w:t>Indicative gross capacity from site area</w:t>
            </w:r>
          </w:p>
          <w:p>
            <w:pPr>
              <w:spacing w:before="0" w:after="0" w:line="276" w:lineRule="auto"/>
            </w:pPr>
            <w:r>
              <w:rPr>
                <w:color w:val="12233A"/>
                <w:sz w:val="18"/>
              </w:rPr>
              <w:t>Using IFC (2015) Table 7, about 0.8–1.2 ha per MWp for crystalline-silicon ground-mounted PV in Thailand and Indonesia (the closest climates listed): the total polygon area of 42.16 ha gives about 35–53 MWp; on the DEM all of it is flatter than about 8.5° (15% grade). These are gross figures, before setbacks, access roads, drainage reserves, shading, steep or unsuitable ground and grid limits; the exact area per MWp varies with the tilt angle and row spacing (pitch).</w:t>
            </w:r>
          </w:p>
          <w:p>
            <w:pPr>
              <w:spacing w:before="60" w:after="0" w:line="240" w:lineRule="auto"/>
            </w:pPr>
            <w:r>
              <w:rPr>
                <w:i/>
                <w:color w:val="48586C"/>
                <w:sz w:val="15"/>
              </w:rPr>
              <w:t>Source: IFC (2015) Utility-Scale Solar Photovoltaic Power Plants: A Project Developer's Guide, Table 7</w:t>
            </w:r>
          </w:p>
        </w:tc>
      </w:tr>
    </w:tbl>
    <w:p>
      <w:pPr>
        <w:spacing w:before="0" w:after="0" w:line="100" w:lineRule="exact"/>
      </w:pPr>
      <w:r>
        <w:rPr>
          <w:sz w:val="10"/>
        </w:rPr>
      </w:r>
    </w:p>
    <w:tbl>
      <w:tblPr>
        <w:tblW w:type="dxa" w:w="9865"/>
        <w:jc w:val="left"/>
        <w:tblBorders>
          <w:top w:val="nil"/>
          <w:left w:val="nil"/>
          <w:bottom w:val="nil"/>
          <w:right w:val="nil"/>
          <w:insideH w:val="nil"/>
          <w:insideV w:val="nil"/>
        </w:tblBorders>
        <w:tblLayout w:type="fixed"/>
        <w:tblLook w:firstColumn="1" w:firstRow="1" w:lastColumn="0" w:lastRow="0" w:noHBand="0" w:noVBand="1" w:val="04A0"/>
      </w:tblPr>
      <w:tblGrid>
        <w:gridCol w:w="9865"/>
      </w:tblGrid>
      <w:tr>
        <w:tc>
          <w:tcPr>
            <w:tcW w:type="dxa" w:w="9865"/>
            <w:tcBorders>
              <w:left w:val="single" w:sz="36" w:space="0" w:color="0F2742"/>
            </w:tcBorders>
            <w:shd w:val="clear" w:color="auto" w:fill="EDF1F6"/>
            <w:tcMar>
              <w:top w:w="110" w:type="dxa"/>
              <w:left w:w="200" w:type="dxa"/>
              <w:bottom w:w="130" w:type="dxa"/>
              <w:right w:w="200" w:type="dxa"/>
            </w:tcMar>
          </w:tcPr>
          <w:p>
            <w:pPr>
              <w:spacing w:before="0" w:after="20" w:line="240" w:lineRule="auto"/>
            </w:pPr>
            <w:r>
              <w:rPr>
                <w:b/>
                <w:color w:val="0F2742"/>
                <w:spacing w:val="12"/>
                <w:sz w:val="14"/>
              </w:rPr>
              <w:t>INFORMATION</w:t>
            </w:r>
          </w:p>
          <w:p>
            <w:pPr>
              <w:spacing w:before="0" w:after="40" w:line="240" w:lineRule="auto"/>
            </w:pPr>
            <w:r>
              <w:rPr>
                <w:b/>
                <w:color w:val="12233A"/>
                <w:sz w:val="20"/>
              </w:rPr>
              <w:t>Route gradients</w:t>
            </w:r>
          </w:p>
          <w:p>
            <w:pPr>
              <w:spacing w:before="0" w:after="0" w:line="276" w:lineRule="auto"/>
            </w:pPr>
            <w:r>
              <w:rPr>
                <w:color w:val="12233A"/>
                <w:sz w:val="18"/>
              </w:rPr>
              <w:t>Steepest gradient along each route, measured over at least 90 m — “33 kV cable route”: max grade 2.1% over 2.03 km (total climb 5 m). Short pitches at drains, embankments and road crossings can be steeper than a 30 m DEM shows, and a route that crosses a slope at an angle has a lower grade than the slope itself.</w:t>
            </w:r>
          </w:p>
        </w:tc>
      </w:tr>
    </w:tbl>
    <w:p>
      <w:pPr>
        <w:spacing w:before="0" w:after="0" w:line="100" w:lineRule="exact"/>
      </w:pPr>
      <w:r>
        <w:rPr>
          <w:sz w:val="10"/>
        </w:rPr>
      </w:r>
    </w:p>
    <w:tbl>
      <w:tblPr>
        <w:tblW w:type="dxa" w:w="9865"/>
        <w:jc w:val="left"/>
        <w:tblBorders>
          <w:top w:val="nil"/>
          <w:left w:val="nil"/>
          <w:bottom w:val="nil"/>
          <w:right w:val="nil"/>
          <w:insideH w:val="nil"/>
          <w:insideV w:val="nil"/>
        </w:tblBorders>
        <w:tblLayout w:type="fixed"/>
        <w:tblLook w:firstColumn="1" w:firstRow="1" w:lastColumn="0" w:lastRow="0" w:noHBand="0" w:noVBand="1" w:val="04A0"/>
      </w:tblPr>
      <w:tblGrid>
        <w:gridCol w:w="9865"/>
      </w:tblGrid>
      <w:tr>
        <w:tc>
          <w:tcPr>
            <w:tcW w:type="dxa" w:w="9865"/>
            <w:tcBorders>
              <w:left w:val="single" w:sz="36" w:space="0" w:color="0F2742"/>
            </w:tcBorders>
            <w:shd w:val="clear" w:color="auto" w:fill="EDF1F6"/>
            <w:tcMar>
              <w:top w:w="110" w:type="dxa"/>
              <w:left w:w="200" w:type="dxa"/>
              <w:bottom w:w="130" w:type="dxa"/>
              <w:right w:w="200" w:type="dxa"/>
            </w:tcMar>
          </w:tcPr>
          <w:p>
            <w:pPr>
              <w:spacing w:before="0" w:after="20" w:line="240" w:lineRule="auto"/>
            </w:pPr>
            <w:r>
              <w:rPr>
                <w:b/>
                <w:color w:val="0F2742"/>
                <w:spacing w:val="12"/>
                <w:sz w:val="14"/>
              </w:rPr>
              <w:t>INFORMATION</w:t>
            </w:r>
          </w:p>
          <w:p>
            <w:pPr>
              <w:spacing w:before="0" w:after="40" w:line="240" w:lineRule="auto"/>
            </w:pPr>
            <w:r>
              <w:rPr>
                <w:b/>
                <w:color w:val="12233A"/>
                <w:sz w:val="20"/>
              </w:rPr>
              <w:t>EIA Order 2015: area-based items to check</w:t>
            </w:r>
          </w:p>
          <w:p>
            <w:pPr>
              <w:spacing w:before="0" w:after="0" w:line="276" w:lineRule="auto"/>
            </w:pPr>
            <w:r>
              <w:rPr>
                <w:color w:val="12233A"/>
                <w:sz w:val="18"/>
              </w:rPr>
              <w:t>Solar PV is not listed among the power-generation items of the EIA Order 2015 at any capacity. Area-based items may still apply, depending on the land cover and what is cleared, converted or drained: First Schedule 5(a), conversion of forest at 300 m or more above mean sea level to other land use, 20 ha to under 100 ha (Second Schedule 5(a): 100 ha or more); First Schedule 5(d), conversion of mangrove, peat swamp or freshwater swamp forest for industrial, housing or agricultural use, 20 ha to under 50 ha (Second Schedule 5(f): 50 ha or more); Second Schedule 3(b), drainage of wetland, wildlife habitat or dry inland forest covering 20 ha or more; First Schedule 17, development of an industrial estate of 20 ha or more — whether DOE treats a solar farm as an industrial estate is not settled. The total polygon area is 42.16 ha; the thresholds apply to the area actually cleared, converted or drained. Second Schedule activities also require public display and public comment. Have a DOE-registered EIA consultant confirm which items apply.</w:t>
            </w:r>
          </w:p>
          <w:p>
            <w:pPr>
              <w:spacing w:before="60" w:after="0" w:line="240" w:lineRule="auto"/>
            </w:pPr>
            <w:r>
              <w:rPr>
                <w:i/>
                <w:color w:val="48586C"/>
                <w:sz w:val="15"/>
              </w:rPr>
              <w:t>Source: Environmental Quality (Prescribed Activities) (Environmental Impact Assessment) Order 2015, P.U. (A) 195/2015, First Schedule items 5(a), 5(d) and 17; Second Schedule items 3(b), 5(a) and 5(f); item 11 (power generation)</w:t>
            </w:r>
          </w:p>
        </w:tc>
      </w:tr>
    </w:tbl>
    <w:p>
      <w:pPr>
        <w:spacing w:before="0" w:after="0" w:line="100" w:lineRule="exact"/>
      </w:pPr>
      <w:r>
        <w:rPr>
          <w:sz w:val="10"/>
        </w:rPr>
      </w:r>
    </w:p>
    <w:p>
      <w:pPr>
        <w:pStyle w:val="Heading1"/>
      </w:pPr>
      <w:r>
        <w:t>Site statistics</w:t>
      </w:r>
    </w:p>
    <w:p>
      <w:pPr>
        <w:pStyle w:val="Heading2"/>
      </w:pPr>
      <w:r>
        <w:t>Sites</w:t>
      </w:r>
    </w:p>
    <w:tbl>
      <w:tblPr>
        <w:tblW w:type="dxa" w:w="9867"/>
        <w:jc w:val="left"/>
        <w:tblBorders>
          <w:top w:val="nil"/>
          <w:left w:val="nil"/>
          <w:bottom w:val="single" w:sz="8" w:space="0" w:color="0F2742"/>
          <w:right w:val="nil"/>
          <w:insideH w:val="single" w:sz="4" w:space="0" w:color="D6DCE3"/>
          <w:insideV w:val="nil"/>
        </w:tblBorders>
        <w:tblLayout w:type="fixed"/>
        <w:tblCellMar>
          <w:top w:w="70" w:type="dxa"/>
          <w:left w:w="90" w:type="dxa"/>
          <w:bottom w:w="70" w:type="dxa"/>
          <w:right w:w="90" w:type="dxa"/>
        </w:tblCellMar>
        <w:tblLook w:firstColumn="1" w:firstRow="1" w:lastColumn="0" w:lastRow="0" w:noHBand="0" w:noVBand="1" w:val="04A0"/>
      </w:tblPr>
      <w:tblGrid>
        <w:gridCol w:w="2329"/>
        <w:gridCol w:w="891"/>
        <w:gridCol w:w="1302"/>
        <w:gridCol w:w="788"/>
        <w:gridCol w:w="651"/>
        <w:gridCol w:w="651"/>
        <w:gridCol w:w="651"/>
        <w:gridCol w:w="651"/>
        <w:gridCol w:w="651"/>
        <w:gridCol w:w="651"/>
        <w:gridCol w:w="651"/>
      </w:tblGrid>
      <w:tr>
        <w:trPr>
          <w:tblHeader/>
          <w:cantSplit/>
        </w:trPr>
        <w:tc>
          <w:tcPr>
            <w:tcW w:type="dxa" w:w="2329"/>
            <w:vMerge w:val="restart"/>
            <w:shd w:val="clear" w:color="auto" w:fill="0F2742"/>
            <w:vAlign w:val="center"/>
          </w:tcPr>
          <w:p>
            <w:pPr>
              <w:keepNext/>
              <w:spacing w:before="0" w:after="0" w:line="240" w:lineRule="auto"/>
              <w:jc w:val="left"/>
            </w:pPr>
            <w:r>
              <w:rPr>
                <w:b/>
                <w:i w:val="0"/>
                <w:color w:val="FFFFFF"/>
                <w:sz w:val="15"/>
              </w:rPr>
              <w:t>Site</w:t>
            </w:r>
          </w:p>
        </w:tc>
        <w:tc>
          <w:tcPr>
            <w:tcW w:type="dxa" w:w="891"/>
            <w:vMerge w:val="restart"/>
            <w:shd w:val="clear" w:color="auto" w:fill="0F2742"/>
            <w:vAlign w:val="center"/>
          </w:tcPr>
          <w:p>
            <w:pPr>
              <w:keepNext/>
              <w:spacing w:before="0" w:after="0" w:line="240" w:lineRule="auto"/>
              <w:jc w:val="right"/>
            </w:pPr>
            <w:r>
              <w:rPr>
                <w:b/>
                <w:i w:val="0"/>
                <w:color w:val="FFFFFF"/>
                <w:sz w:val="15"/>
              </w:rPr>
              <w:t>Area (ha)</w:t>
            </w:r>
          </w:p>
        </w:tc>
        <w:tc>
          <w:tcPr>
            <w:tcW w:type="dxa" w:w="1302"/>
            <w:vMerge w:val="restart"/>
            <w:shd w:val="clear" w:color="auto" w:fill="0F2742"/>
            <w:vAlign w:val="center"/>
          </w:tcPr>
          <w:p>
            <w:pPr>
              <w:keepNext/>
              <w:spacing w:before="0" w:after="0" w:line="240" w:lineRule="auto"/>
              <w:jc w:val="right"/>
            </w:pPr>
            <w:r>
              <w:rPr>
                <w:b/>
                <w:i w:val="0"/>
                <w:color w:val="FFFFFF"/>
                <w:sz w:val="15"/>
              </w:rPr>
              <w:t>Elevation min–max (m)</w:t>
            </w:r>
          </w:p>
        </w:tc>
        <w:tc>
          <w:tcPr>
            <w:tcW w:type="dxa" w:w="788"/>
            <w:vMerge w:val="restart"/>
            <w:shd w:val="clear" w:color="auto" w:fill="0F2742"/>
            <w:vAlign w:val="center"/>
          </w:tcPr>
          <w:p>
            <w:pPr>
              <w:keepNext/>
              <w:spacing w:before="0" w:after="0" w:line="240" w:lineRule="auto"/>
              <w:jc w:val="right"/>
            </w:pPr>
            <w:r>
              <w:rPr>
                <w:b/>
                <w:i w:val="0"/>
                <w:color w:val="FFFFFF"/>
                <w:sz w:val="15"/>
              </w:rPr>
              <w:t>Relief (m)</w:t>
            </w:r>
          </w:p>
        </w:tc>
        <w:tc>
          <w:tcPr>
            <w:tcW w:type="dxa" w:w="1953"/>
            <w:gridSpan w:val="3"/>
            <w:tcBorders>
              <w:bottom w:val="single" w:sz="6" w:space="0" w:color="D4A23A"/>
            </w:tcBorders>
            <w:shd w:val="clear" w:color="auto" w:fill="0F2742"/>
            <w:vAlign w:val="center"/>
          </w:tcPr>
          <w:p>
            <w:pPr>
              <w:keepNext/>
              <w:spacing w:before="0" w:after="0" w:line="240" w:lineRule="auto"/>
              <w:jc w:val="center"/>
            </w:pPr>
            <w:r>
              <w:rPr>
                <w:b/>
                <w:i w:val="0"/>
                <w:color w:val="FFFFFF"/>
                <w:sz w:val="15"/>
              </w:rPr>
              <w:t>Slope (°)</w:t>
            </w:r>
          </w:p>
        </w:tc>
        <w:tc>
          <w:tcPr>
            <w:tcW w:type="dxa" w:w="2604"/>
            <w:gridSpan w:val="4"/>
            <w:tcBorders>
              <w:bottom w:val="single" w:sz="6" w:space="0" w:color="D4A23A"/>
            </w:tcBorders>
            <w:shd w:val="clear" w:color="auto" w:fill="0F2742"/>
            <w:vAlign w:val="center"/>
          </w:tcPr>
          <w:p>
            <w:pPr>
              <w:keepNext/>
              <w:spacing w:before="0" w:after="0" w:line="240" w:lineRule="auto"/>
              <w:jc w:val="center"/>
            </w:pPr>
            <w:r>
              <w:rPr>
                <w:b/>
                <w:i w:val="0"/>
                <w:color w:val="FFFFFF"/>
                <w:sz w:val="15"/>
              </w:rPr>
              <w:t>KPKT class (% of site area)</w:t>
            </w:r>
          </w:p>
        </w:tc>
      </w:tr>
      <w:tr>
        <w:trPr>
          <w:tblHeader/>
          <w:cantSplit/>
        </w:trPr>
        <w:tc>
          <w:tcPr>
            <w:tcW w:type="dxa" w:w="2329"/>
            <w:vMerge/>
            <w:shd w:val="clear" w:color="auto" w:fill="0F2742"/>
          </w:tcPr>
          <w:p>
            <w:pPr>
              <w:keepNext/>
            </w:pPr>
          </w:p>
        </w:tc>
        <w:tc>
          <w:tcPr>
            <w:tcW w:type="dxa" w:w="891"/>
            <w:vMerge/>
            <w:shd w:val="clear" w:color="auto" w:fill="0F2742"/>
          </w:tcPr>
          <w:p>
            <w:pPr>
              <w:keepNext/>
            </w:pPr>
          </w:p>
        </w:tc>
        <w:tc>
          <w:tcPr>
            <w:tcW w:type="dxa" w:w="1302"/>
            <w:vMerge/>
            <w:shd w:val="clear" w:color="auto" w:fill="0F2742"/>
          </w:tcPr>
          <w:p>
            <w:pPr>
              <w:keepNext/>
            </w:pPr>
          </w:p>
        </w:tc>
        <w:tc>
          <w:tcPr>
            <w:tcW w:type="dxa" w:w="788"/>
            <w:vMerge/>
            <w:shd w:val="clear" w:color="auto" w:fill="0F2742"/>
          </w:tcPr>
          <w:p>
            <w:pPr>
              <w:keepNext/>
            </w:pPr>
          </w:p>
        </w:tc>
        <w:tc>
          <w:tcPr>
            <w:tcW w:type="dxa" w:w="651"/>
            <w:shd w:val="clear" w:color="auto" w:fill="0F2742"/>
            <w:vAlign w:val="center"/>
          </w:tcPr>
          <w:p>
            <w:pPr>
              <w:keepNext/>
              <w:spacing w:before="0" w:after="0" w:line="240" w:lineRule="auto"/>
              <w:jc w:val="right"/>
            </w:pPr>
            <w:r>
              <w:rPr>
                <w:b/>
                <w:i w:val="0"/>
                <w:color w:val="FFFFFF"/>
                <w:sz w:val="15"/>
              </w:rPr>
              <w:t>Mean</w:t>
            </w:r>
          </w:p>
        </w:tc>
        <w:tc>
          <w:tcPr>
            <w:tcW w:type="dxa" w:w="651"/>
            <w:shd w:val="clear" w:color="auto" w:fill="0F2742"/>
            <w:vAlign w:val="center"/>
          </w:tcPr>
          <w:p>
            <w:pPr>
              <w:keepNext/>
              <w:spacing w:before="0" w:after="0" w:line="240" w:lineRule="auto"/>
              <w:jc w:val="right"/>
            </w:pPr>
            <w:r>
              <w:rPr>
                <w:b/>
                <w:i w:val="0"/>
                <w:color w:val="FFFFFF"/>
                <w:sz w:val="15"/>
              </w:rPr>
              <w:t>P90</w:t>
            </w:r>
          </w:p>
        </w:tc>
        <w:tc>
          <w:tcPr>
            <w:tcW w:type="dxa" w:w="651"/>
            <w:shd w:val="clear" w:color="auto" w:fill="0F2742"/>
            <w:vAlign w:val="center"/>
          </w:tcPr>
          <w:p>
            <w:pPr>
              <w:keepNext/>
              <w:spacing w:before="0" w:after="0" w:line="240" w:lineRule="auto"/>
              <w:jc w:val="right"/>
            </w:pPr>
            <w:r>
              <w:rPr>
                <w:b/>
                <w:i w:val="0"/>
                <w:color w:val="FFFFFF"/>
                <w:sz w:val="15"/>
              </w:rPr>
              <w:t>Max</w:t>
            </w:r>
          </w:p>
        </w:tc>
        <w:tc>
          <w:tcPr>
            <w:tcW w:type="dxa" w:w="651"/>
            <w:shd w:val="clear" w:color="auto" w:fill="0F2742"/>
            <w:vAlign w:val="center"/>
          </w:tcPr>
          <w:p>
            <w:pPr>
              <w:keepNext/>
              <w:spacing w:before="0" w:after="0" w:line="240" w:lineRule="auto"/>
              <w:jc w:val="right"/>
            </w:pPr>
            <w:r>
              <w:rPr>
                <w:b/>
                <w:i w:val="0"/>
                <w:color w:val="FFFFFF"/>
                <w:sz w:val="15"/>
              </w:rPr>
              <w:t>I</w:t>
            </w:r>
          </w:p>
        </w:tc>
        <w:tc>
          <w:tcPr>
            <w:tcW w:type="dxa" w:w="651"/>
            <w:shd w:val="clear" w:color="auto" w:fill="0F2742"/>
            <w:vAlign w:val="center"/>
          </w:tcPr>
          <w:p>
            <w:pPr>
              <w:keepNext/>
              <w:spacing w:before="0" w:after="0" w:line="240" w:lineRule="auto"/>
              <w:jc w:val="right"/>
            </w:pPr>
            <w:r>
              <w:rPr>
                <w:b/>
                <w:i w:val="0"/>
                <w:color w:val="FFFFFF"/>
                <w:sz w:val="15"/>
              </w:rPr>
              <w:t>II</w:t>
            </w:r>
          </w:p>
        </w:tc>
        <w:tc>
          <w:tcPr>
            <w:tcW w:type="dxa" w:w="651"/>
            <w:shd w:val="clear" w:color="auto" w:fill="0F2742"/>
            <w:vAlign w:val="center"/>
          </w:tcPr>
          <w:p>
            <w:pPr>
              <w:keepNext/>
              <w:spacing w:before="0" w:after="0" w:line="240" w:lineRule="auto"/>
              <w:jc w:val="right"/>
            </w:pPr>
            <w:r>
              <w:rPr>
                <w:b/>
                <w:i w:val="0"/>
                <w:color w:val="FFFFFF"/>
                <w:sz w:val="15"/>
              </w:rPr>
              <w:t>III</w:t>
            </w:r>
          </w:p>
        </w:tc>
        <w:tc>
          <w:tcPr>
            <w:tcW w:type="dxa" w:w="651"/>
            <w:shd w:val="clear" w:color="auto" w:fill="0F2742"/>
            <w:vAlign w:val="center"/>
          </w:tcPr>
          <w:p>
            <w:pPr>
              <w:keepNext/>
              <w:spacing w:before="0" w:after="0" w:line="240" w:lineRule="auto"/>
              <w:jc w:val="right"/>
            </w:pPr>
            <w:r>
              <w:rPr>
                <w:b/>
                <w:i w:val="0"/>
                <w:color w:val="FFFFFF"/>
                <w:sz w:val="15"/>
              </w:rPr>
              <w:t>IV</w:t>
            </w:r>
          </w:p>
        </w:tc>
      </w:tr>
      <w:tr>
        <w:trPr>
          <w:cantSplit/>
        </w:trPr>
        <w:tc>
          <w:tcPr>
            <w:tcW w:type="dxa" w:w="2329"/>
            <w:vAlign w:val="center"/>
          </w:tcPr>
          <w:p>
            <w:pPr>
              <w:spacing w:before="0" w:after="0" w:line="240" w:lineRule="auto"/>
              <w:jc w:val="left"/>
            </w:pPr>
            <w:r>
              <w:rPr>
                <w:b w:val="0"/>
                <w:i w:val="0"/>
                <w:color w:val="12233A"/>
                <w:sz w:val="16"/>
              </w:rPr>
              <w:t>Lot A paddy</w:t>
            </w:r>
          </w:p>
        </w:tc>
        <w:tc>
          <w:tcPr>
            <w:tcW w:type="dxa" w:w="891"/>
            <w:vAlign w:val="center"/>
          </w:tcPr>
          <w:p>
            <w:pPr>
              <w:spacing w:before="0" w:after="0" w:line="240" w:lineRule="auto"/>
              <w:jc w:val="right"/>
            </w:pPr>
            <w:r>
              <w:rPr>
                <w:b w:val="0"/>
                <w:i w:val="0"/>
                <w:color w:val="12233A"/>
                <w:sz w:val="16"/>
              </w:rPr>
              <w:t>42.16</w:t>
            </w:r>
          </w:p>
        </w:tc>
        <w:tc>
          <w:tcPr>
            <w:tcW w:type="dxa" w:w="1302"/>
            <w:vAlign w:val="center"/>
          </w:tcPr>
          <w:p>
            <w:pPr>
              <w:spacing w:before="0" w:after="0" w:line="240" w:lineRule="auto"/>
              <w:jc w:val="right"/>
            </w:pPr>
            <w:r>
              <w:rPr>
                <w:b w:val="0"/>
                <w:i w:val="0"/>
                <w:color w:val="12233A"/>
                <w:sz w:val="16"/>
              </w:rPr>
              <w:t>1.2–5.4</w:t>
            </w:r>
          </w:p>
        </w:tc>
        <w:tc>
          <w:tcPr>
            <w:tcW w:type="dxa" w:w="788"/>
            <w:vAlign w:val="center"/>
          </w:tcPr>
          <w:p>
            <w:pPr>
              <w:spacing w:before="0" w:after="0" w:line="240" w:lineRule="auto"/>
              <w:jc w:val="right"/>
            </w:pPr>
            <w:r>
              <w:rPr>
                <w:b w:val="0"/>
                <w:i w:val="0"/>
                <w:color w:val="12233A"/>
                <w:sz w:val="16"/>
              </w:rPr>
              <w:t>4.2</w:t>
            </w:r>
          </w:p>
        </w:tc>
        <w:tc>
          <w:tcPr>
            <w:tcW w:type="dxa" w:w="651"/>
            <w:vAlign w:val="center"/>
          </w:tcPr>
          <w:p>
            <w:pPr>
              <w:spacing w:before="0" w:after="0" w:line="240" w:lineRule="auto"/>
              <w:jc w:val="right"/>
            </w:pPr>
            <w:r>
              <w:rPr>
                <w:b w:val="0"/>
                <w:i w:val="0"/>
                <w:color w:val="12233A"/>
                <w:sz w:val="16"/>
              </w:rPr>
              <w:t>0.7</w:t>
            </w:r>
          </w:p>
        </w:tc>
        <w:tc>
          <w:tcPr>
            <w:tcW w:type="dxa" w:w="651"/>
            <w:vAlign w:val="center"/>
          </w:tcPr>
          <w:p>
            <w:pPr>
              <w:spacing w:before="0" w:after="0" w:line="240" w:lineRule="auto"/>
              <w:jc w:val="right"/>
            </w:pPr>
            <w:r>
              <w:rPr>
                <w:b w:val="0"/>
                <w:i w:val="0"/>
                <w:color w:val="12233A"/>
                <w:sz w:val="16"/>
              </w:rPr>
              <w:t>1.6</w:t>
            </w:r>
          </w:p>
        </w:tc>
        <w:tc>
          <w:tcPr>
            <w:tcW w:type="dxa" w:w="651"/>
            <w:vAlign w:val="center"/>
          </w:tcPr>
          <w:p>
            <w:pPr>
              <w:spacing w:before="0" w:after="0" w:line="240" w:lineRule="auto"/>
              <w:jc w:val="right"/>
            </w:pPr>
            <w:r>
              <w:rPr>
                <w:b w:val="0"/>
                <w:i w:val="0"/>
                <w:color w:val="12233A"/>
                <w:sz w:val="16"/>
              </w:rPr>
              <w:t>3.9</w:t>
            </w:r>
          </w:p>
        </w:tc>
        <w:tc>
          <w:tcPr>
            <w:tcW w:type="dxa" w:w="651"/>
            <w:vAlign w:val="center"/>
          </w:tcPr>
          <w:p>
            <w:pPr>
              <w:spacing w:before="0" w:after="0" w:line="240" w:lineRule="auto"/>
              <w:jc w:val="right"/>
            </w:pPr>
            <w:r>
              <w:rPr>
                <w:b w:val="0"/>
                <w:i w:val="0"/>
                <w:color w:val="12233A"/>
                <w:sz w:val="16"/>
              </w:rPr>
              <w:t>100.0</w:t>
            </w:r>
          </w:p>
        </w:tc>
        <w:tc>
          <w:tcPr>
            <w:tcW w:type="dxa" w:w="651"/>
            <w:vAlign w:val="center"/>
          </w:tcPr>
          <w:p>
            <w:pPr>
              <w:spacing w:before="0" w:after="0" w:line="240" w:lineRule="auto"/>
              <w:jc w:val="right"/>
            </w:pPr>
            <w:r>
              <w:rPr>
                <w:b w:val="0"/>
                <w:i w:val="0"/>
                <w:color w:val="12233A"/>
                <w:sz w:val="16"/>
              </w:rPr>
              <w:t>0.0</w:t>
            </w:r>
          </w:p>
        </w:tc>
        <w:tc>
          <w:tcPr>
            <w:tcW w:type="dxa" w:w="651"/>
            <w:vAlign w:val="center"/>
          </w:tcPr>
          <w:p>
            <w:pPr>
              <w:spacing w:before="0" w:after="0" w:line="240" w:lineRule="auto"/>
              <w:jc w:val="right"/>
            </w:pPr>
            <w:r>
              <w:rPr>
                <w:b w:val="0"/>
                <w:i w:val="0"/>
                <w:color w:val="12233A"/>
                <w:sz w:val="16"/>
              </w:rPr>
              <w:t>0.0</w:t>
            </w:r>
          </w:p>
        </w:tc>
        <w:tc>
          <w:tcPr>
            <w:tcW w:type="dxa" w:w="651"/>
            <w:vAlign w:val="center"/>
          </w:tcPr>
          <w:p>
            <w:pPr>
              <w:spacing w:before="0" w:after="0" w:line="240" w:lineRule="auto"/>
              <w:jc w:val="right"/>
            </w:pPr>
            <w:r>
              <w:rPr>
                <w:b w:val="0"/>
                <w:i w:val="0"/>
                <w:color w:val="12233A"/>
                <w:sz w:val="16"/>
              </w:rPr>
              <w:t>0.0</w:t>
            </w:r>
          </w:p>
        </w:tc>
      </w:tr>
    </w:tbl>
    <w:p>
      <w:pPr>
        <w:spacing w:before="80" w:after="120" w:line="264" w:lineRule="auto"/>
      </w:pPr>
      <w:r>
        <w:rPr>
          <w:i/>
          <w:color w:val="48586C"/>
          <w:sz w:val="15"/>
        </w:rPr>
        <w:t>Elevations are DEM surface heights in metres above EGM2008. P90 is the 90th-percentile slope: nine-tenths of the site area is at or below it. KPKT classes: I below 15°, II 15–25°, III 25–35°, IV 35° and steeper.</w:t>
      </w:r>
    </w:p>
    <w:p>
      <w:pPr>
        <w:pStyle w:val="Heading2"/>
      </w:pPr>
      <w:r>
        <w:t>Slope distribution</w:t>
      </w:r>
    </w:p>
    <w:tbl>
      <w:tblPr>
        <w:tblW w:type="dxa" w:w="9868"/>
        <w:jc w:val="left"/>
        <w:tblBorders>
          <w:top w:val="nil"/>
          <w:left w:val="nil"/>
          <w:bottom w:val="single" w:sz="8" w:space="0" w:color="0F2742"/>
          <w:right w:val="nil"/>
          <w:insideH w:val="single" w:sz="4" w:space="0" w:color="D6DCE3"/>
          <w:insideV w:val="nil"/>
        </w:tblBorders>
        <w:tblLayout w:type="fixed"/>
        <w:tblCellMar>
          <w:top w:w="70" w:type="dxa"/>
          <w:left w:w="90" w:type="dxa"/>
          <w:bottom w:w="70" w:type="dxa"/>
          <w:right w:w="90" w:type="dxa"/>
        </w:tblCellMar>
        <w:tblLook w:firstColumn="1" w:firstRow="1" w:lastColumn="0" w:lastRow="0" w:noHBand="0" w:noVBand="1" w:val="04A0"/>
      </w:tblPr>
      <w:tblGrid>
        <w:gridCol w:w="3225"/>
        <w:gridCol w:w="949"/>
        <w:gridCol w:w="949"/>
        <w:gridCol w:w="949"/>
        <w:gridCol w:w="949"/>
        <w:gridCol w:w="949"/>
        <w:gridCol w:w="949"/>
        <w:gridCol w:w="949"/>
      </w:tblGrid>
      <w:tr>
        <w:trPr>
          <w:tblHeader/>
          <w:cantSplit/>
        </w:trPr>
        <w:tc>
          <w:tcPr>
            <w:tcW w:type="dxa" w:w="3225"/>
            <w:vMerge w:val="restart"/>
            <w:shd w:val="clear" w:color="auto" w:fill="0F2742"/>
            <w:vAlign w:val="center"/>
          </w:tcPr>
          <w:p>
            <w:pPr>
              <w:keepNext/>
              <w:spacing w:before="0" w:after="0" w:line="240" w:lineRule="auto"/>
              <w:jc w:val="left"/>
            </w:pPr>
            <w:r>
              <w:rPr>
                <w:b/>
                <w:i w:val="0"/>
                <w:color w:val="FFFFFF"/>
                <w:sz w:val="15"/>
              </w:rPr>
              <w:t>Site</w:t>
            </w:r>
          </w:p>
        </w:tc>
        <w:tc>
          <w:tcPr>
            <w:tcW w:type="dxa" w:w="6643"/>
            <w:gridSpan w:val="7"/>
            <w:tcBorders>
              <w:bottom w:val="single" w:sz="6" w:space="0" w:color="D4A23A"/>
            </w:tcBorders>
            <w:shd w:val="clear" w:color="auto" w:fill="0F2742"/>
            <w:vAlign w:val="center"/>
          </w:tcPr>
          <w:p>
            <w:pPr>
              <w:keepNext/>
              <w:spacing w:before="0" w:after="0" w:line="240" w:lineRule="auto"/>
              <w:jc w:val="center"/>
            </w:pPr>
            <w:r>
              <w:rPr>
                <w:b/>
                <w:i w:val="0"/>
                <w:color w:val="FFFFFF"/>
                <w:sz w:val="15"/>
              </w:rPr>
              <w:t>Share of site area in each slope band (%)</w:t>
            </w:r>
          </w:p>
        </w:tc>
      </w:tr>
      <w:tr>
        <w:trPr>
          <w:tblHeader/>
          <w:cantSplit/>
        </w:trPr>
        <w:tc>
          <w:tcPr>
            <w:tcW w:type="dxa" w:w="3225"/>
            <w:vMerge/>
            <w:shd w:val="clear" w:color="auto" w:fill="0F2742"/>
          </w:tcPr>
          <w:p>
            <w:pPr>
              <w:keepNext/>
            </w:pPr>
          </w:p>
        </w:tc>
        <w:tc>
          <w:tcPr>
            <w:tcW w:type="dxa" w:w="949"/>
            <w:shd w:val="clear" w:color="auto" w:fill="0F2742"/>
            <w:vAlign w:val="center"/>
          </w:tcPr>
          <w:p>
            <w:pPr>
              <w:keepNext/>
              <w:spacing w:before="0" w:after="0" w:line="240" w:lineRule="auto"/>
              <w:jc w:val="right"/>
            </w:pPr>
            <w:r>
              <w:rPr>
                <w:b/>
                <w:i w:val="0"/>
                <w:color w:val="FFFFFF"/>
                <w:sz w:val="15"/>
              </w:rPr>
              <w:t>0–2°</w:t>
            </w:r>
          </w:p>
        </w:tc>
        <w:tc>
          <w:tcPr>
            <w:tcW w:type="dxa" w:w="949"/>
            <w:shd w:val="clear" w:color="auto" w:fill="0F2742"/>
            <w:vAlign w:val="center"/>
          </w:tcPr>
          <w:p>
            <w:pPr>
              <w:keepNext/>
              <w:spacing w:before="0" w:after="0" w:line="240" w:lineRule="auto"/>
              <w:jc w:val="right"/>
            </w:pPr>
            <w:r>
              <w:rPr>
                <w:b/>
                <w:i w:val="0"/>
                <w:color w:val="FFFFFF"/>
                <w:sz w:val="15"/>
              </w:rPr>
              <w:t>2–5°</w:t>
            </w:r>
          </w:p>
        </w:tc>
        <w:tc>
          <w:tcPr>
            <w:tcW w:type="dxa" w:w="949"/>
            <w:shd w:val="clear" w:color="auto" w:fill="0F2742"/>
            <w:vAlign w:val="center"/>
          </w:tcPr>
          <w:p>
            <w:pPr>
              <w:keepNext/>
              <w:spacing w:before="0" w:after="0" w:line="240" w:lineRule="auto"/>
              <w:jc w:val="right"/>
            </w:pPr>
            <w:r>
              <w:rPr>
                <w:b/>
                <w:i w:val="0"/>
                <w:color w:val="FFFFFF"/>
                <w:sz w:val="15"/>
              </w:rPr>
              <w:t>5–10°</w:t>
            </w:r>
          </w:p>
        </w:tc>
        <w:tc>
          <w:tcPr>
            <w:tcW w:type="dxa" w:w="949"/>
            <w:shd w:val="clear" w:color="auto" w:fill="0F2742"/>
            <w:vAlign w:val="center"/>
          </w:tcPr>
          <w:p>
            <w:pPr>
              <w:keepNext/>
              <w:spacing w:before="0" w:after="0" w:line="240" w:lineRule="auto"/>
              <w:jc w:val="right"/>
            </w:pPr>
            <w:r>
              <w:rPr>
                <w:b/>
                <w:i w:val="0"/>
                <w:color w:val="FFFFFF"/>
                <w:sz w:val="15"/>
              </w:rPr>
              <w:t>10–15°</w:t>
            </w:r>
          </w:p>
        </w:tc>
        <w:tc>
          <w:tcPr>
            <w:tcW w:type="dxa" w:w="949"/>
            <w:shd w:val="clear" w:color="auto" w:fill="0F2742"/>
            <w:vAlign w:val="center"/>
          </w:tcPr>
          <w:p>
            <w:pPr>
              <w:keepNext/>
              <w:spacing w:before="0" w:after="0" w:line="240" w:lineRule="auto"/>
              <w:jc w:val="right"/>
            </w:pPr>
            <w:r>
              <w:rPr>
                <w:b/>
                <w:i w:val="0"/>
                <w:color w:val="FFFFFF"/>
                <w:sz w:val="15"/>
              </w:rPr>
              <w:t>15–25°</w:t>
            </w:r>
          </w:p>
        </w:tc>
        <w:tc>
          <w:tcPr>
            <w:tcW w:type="dxa" w:w="949"/>
            <w:shd w:val="clear" w:color="auto" w:fill="0F2742"/>
            <w:vAlign w:val="center"/>
          </w:tcPr>
          <w:p>
            <w:pPr>
              <w:keepNext/>
              <w:spacing w:before="0" w:after="0" w:line="240" w:lineRule="auto"/>
              <w:jc w:val="right"/>
            </w:pPr>
            <w:r>
              <w:rPr>
                <w:b/>
                <w:i w:val="0"/>
                <w:color w:val="FFFFFF"/>
                <w:sz w:val="15"/>
              </w:rPr>
              <w:t>25–35°</w:t>
            </w:r>
          </w:p>
        </w:tc>
        <w:tc>
          <w:tcPr>
            <w:tcW w:type="dxa" w:w="949"/>
            <w:shd w:val="clear" w:color="auto" w:fill="0F2742"/>
            <w:vAlign w:val="center"/>
          </w:tcPr>
          <w:p>
            <w:pPr>
              <w:keepNext/>
              <w:spacing w:before="0" w:after="0" w:line="240" w:lineRule="auto"/>
              <w:jc w:val="right"/>
            </w:pPr>
            <w:r>
              <w:rPr>
                <w:b/>
                <w:i w:val="0"/>
                <w:color w:val="FFFFFF"/>
                <w:sz w:val="15"/>
              </w:rPr>
              <w:t>&gt;35°</w:t>
            </w:r>
          </w:p>
        </w:tc>
      </w:tr>
      <w:tr>
        <w:trPr>
          <w:cantSplit/>
        </w:trPr>
        <w:tc>
          <w:tcPr>
            <w:tcW w:type="dxa" w:w="3225"/>
            <w:vAlign w:val="center"/>
          </w:tcPr>
          <w:p>
            <w:pPr>
              <w:spacing w:before="0" w:after="0" w:line="240" w:lineRule="auto"/>
              <w:jc w:val="left"/>
            </w:pPr>
            <w:r>
              <w:rPr>
                <w:b w:val="0"/>
                <w:i w:val="0"/>
                <w:color w:val="12233A"/>
                <w:sz w:val="16"/>
              </w:rPr>
              <w:t>Lot A paddy</w:t>
            </w:r>
          </w:p>
        </w:tc>
        <w:tc>
          <w:tcPr>
            <w:tcW w:type="dxa" w:w="949"/>
            <w:vAlign w:val="center"/>
          </w:tcPr>
          <w:p>
            <w:pPr>
              <w:spacing w:before="0" w:after="0" w:line="240" w:lineRule="auto"/>
              <w:jc w:val="right"/>
            </w:pPr>
            <w:r>
              <w:rPr>
                <w:b w:val="0"/>
                <w:i w:val="0"/>
                <w:color w:val="12233A"/>
                <w:sz w:val="16"/>
              </w:rPr>
              <w:t>92.6</w:t>
            </w:r>
          </w:p>
        </w:tc>
        <w:tc>
          <w:tcPr>
            <w:tcW w:type="dxa" w:w="949"/>
            <w:vAlign w:val="center"/>
          </w:tcPr>
          <w:p>
            <w:pPr>
              <w:spacing w:before="0" w:after="0" w:line="240" w:lineRule="auto"/>
              <w:jc w:val="right"/>
            </w:pPr>
            <w:r>
              <w:rPr>
                <w:b w:val="0"/>
                <w:i w:val="0"/>
                <w:color w:val="12233A"/>
                <w:sz w:val="16"/>
              </w:rPr>
              <w:t>7.4</w:t>
            </w:r>
          </w:p>
        </w:tc>
        <w:tc>
          <w:tcPr>
            <w:tcW w:type="dxa" w:w="949"/>
            <w:vAlign w:val="center"/>
          </w:tcPr>
          <w:p>
            <w:pPr>
              <w:spacing w:before="0" w:after="0" w:line="240" w:lineRule="auto"/>
              <w:jc w:val="right"/>
            </w:pPr>
            <w:r>
              <w:rPr>
                <w:b w:val="0"/>
                <w:i w:val="0"/>
                <w:color w:val="12233A"/>
                <w:sz w:val="16"/>
              </w:rPr>
              <w:t>0.0</w:t>
            </w:r>
          </w:p>
        </w:tc>
        <w:tc>
          <w:tcPr>
            <w:tcW w:type="dxa" w:w="949"/>
            <w:vAlign w:val="center"/>
          </w:tcPr>
          <w:p>
            <w:pPr>
              <w:spacing w:before="0" w:after="0" w:line="240" w:lineRule="auto"/>
              <w:jc w:val="right"/>
            </w:pPr>
            <w:r>
              <w:rPr>
                <w:b w:val="0"/>
                <w:i w:val="0"/>
                <w:color w:val="12233A"/>
                <w:sz w:val="16"/>
              </w:rPr>
              <w:t>0.0</w:t>
            </w:r>
          </w:p>
        </w:tc>
        <w:tc>
          <w:tcPr>
            <w:tcW w:type="dxa" w:w="949"/>
            <w:vAlign w:val="center"/>
          </w:tcPr>
          <w:p>
            <w:pPr>
              <w:spacing w:before="0" w:after="0" w:line="240" w:lineRule="auto"/>
              <w:jc w:val="right"/>
            </w:pPr>
            <w:r>
              <w:rPr>
                <w:b w:val="0"/>
                <w:i w:val="0"/>
                <w:color w:val="12233A"/>
                <w:sz w:val="16"/>
              </w:rPr>
              <w:t>0.0</w:t>
            </w:r>
          </w:p>
        </w:tc>
        <w:tc>
          <w:tcPr>
            <w:tcW w:type="dxa" w:w="949"/>
            <w:vAlign w:val="center"/>
          </w:tcPr>
          <w:p>
            <w:pPr>
              <w:spacing w:before="0" w:after="0" w:line="240" w:lineRule="auto"/>
              <w:jc w:val="right"/>
            </w:pPr>
            <w:r>
              <w:rPr>
                <w:b w:val="0"/>
                <w:i w:val="0"/>
                <w:color w:val="12233A"/>
                <w:sz w:val="16"/>
              </w:rPr>
              <w:t>0.0</w:t>
            </w:r>
          </w:p>
        </w:tc>
        <w:tc>
          <w:tcPr>
            <w:tcW w:type="dxa" w:w="949"/>
            <w:vAlign w:val="center"/>
          </w:tcPr>
          <w:p>
            <w:pPr>
              <w:spacing w:before="0" w:after="0" w:line="240" w:lineRule="auto"/>
              <w:jc w:val="right"/>
            </w:pPr>
            <w:r>
              <w:rPr>
                <w:b w:val="0"/>
                <w:i w:val="0"/>
                <w:color w:val="12233A"/>
                <w:sz w:val="16"/>
              </w:rPr>
              <w:t>0.0</w:t>
            </w:r>
          </w:p>
        </w:tc>
      </w:tr>
    </w:tbl>
    <w:p>
      <w:pPr>
        <w:spacing w:before="0" w:after="0" w:line="80" w:lineRule="exact"/>
      </w:pPr>
      <w:r>
        <w:rPr>
          <w:sz w:val="8"/>
        </w:rPr>
      </w:r>
    </w:p>
    <w:p>
      <w:pPr>
        <w:pStyle w:val="Heading2"/>
      </w:pPr>
      <w:r>
        <w:t>Routes</w:t>
      </w:r>
    </w:p>
    <w:tbl>
      <w:tblPr>
        <w:tblW w:type="dxa" w:w="9864"/>
        <w:jc w:val="left"/>
        <w:tblBorders>
          <w:top w:val="nil"/>
          <w:left w:val="nil"/>
          <w:bottom w:val="single" w:sz="8" w:space="0" w:color="0F2742"/>
          <w:right w:val="nil"/>
          <w:insideH w:val="single" w:sz="4" w:space="0" w:color="D6DCE3"/>
          <w:insideV w:val="nil"/>
        </w:tblBorders>
        <w:tblLayout w:type="fixed"/>
        <w:tblCellMar>
          <w:top w:w="70" w:type="dxa"/>
          <w:left w:w="90" w:type="dxa"/>
          <w:bottom w:w="70" w:type="dxa"/>
          <w:right w:w="90" w:type="dxa"/>
        </w:tblCellMar>
        <w:tblLook w:firstColumn="1" w:firstRow="1" w:lastColumn="0" w:lastRow="0" w:noHBand="0" w:noVBand="1" w:val="04A0"/>
      </w:tblPr>
      <w:tblGrid>
        <w:gridCol w:w="3494"/>
        <w:gridCol w:w="1336"/>
        <w:gridCol w:w="1952"/>
        <w:gridCol w:w="1541"/>
        <w:gridCol w:w="1541"/>
      </w:tblGrid>
      <w:tr>
        <w:trPr>
          <w:tblHeader/>
          <w:cantSplit/>
        </w:trPr>
        <w:tc>
          <w:tcPr>
            <w:tcW w:type="dxa" w:w="3494"/>
            <w:shd w:val="clear" w:color="auto" w:fill="0F2742"/>
            <w:vAlign w:val="center"/>
          </w:tcPr>
          <w:p>
            <w:pPr>
              <w:keepNext/>
              <w:spacing w:before="0" w:after="0" w:line="240" w:lineRule="auto"/>
              <w:jc w:val="left"/>
            </w:pPr>
            <w:r>
              <w:rPr>
                <w:b/>
                <w:i w:val="0"/>
                <w:color w:val="FFFFFF"/>
                <w:sz w:val="15"/>
              </w:rPr>
              <w:t>Route</w:t>
            </w:r>
          </w:p>
        </w:tc>
        <w:tc>
          <w:tcPr>
            <w:tcW w:type="dxa" w:w="1336"/>
            <w:shd w:val="clear" w:color="auto" w:fill="0F2742"/>
            <w:vAlign w:val="center"/>
          </w:tcPr>
          <w:p>
            <w:pPr>
              <w:keepNext/>
              <w:spacing w:before="0" w:after="0" w:line="240" w:lineRule="auto"/>
              <w:jc w:val="right"/>
            </w:pPr>
            <w:r>
              <w:rPr>
                <w:b/>
                <w:i w:val="0"/>
                <w:color w:val="FFFFFF"/>
                <w:sz w:val="15"/>
              </w:rPr>
              <w:t>Length (km)</w:t>
            </w:r>
          </w:p>
        </w:tc>
        <w:tc>
          <w:tcPr>
            <w:tcW w:type="dxa" w:w="1952"/>
            <w:shd w:val="clear" w:color="auto" w:fill="0F2742"/>
            <w:vAlign w:val="center"/>
          </w:tcPr>
          <w:p>
            <w:pPr>
              <w:keepNext/>
              <w:spacing w:before="0" w:after="0" w:line="240" w:lineRule="auto"/>
              <w:jc w:val="right"/>
            </w:pPr>
            <w:r>
              <w:rPr>
                <w:b/>
                <w:i w:val="0"/>
                <w:color w:val="FFFFFF"/>
                <w:sz w:val="15"/>
              </w:rPr>
              <w:t>Elevation min–max (m)</w:t>
            </w:r>
          </w:p>
        </w:tc>
        <w:tc>
          <w:tcPr>
            <w:tcW w:type="dxa" w:w="1541"/>
            <w:shd w:val="clear" w:color="auto" w:fill="0F2742"/>
            <w:vAlign w:val="center"/>
          </w:tcPr>
          <w:p>
            <w:pPr>
              <w:keepNext/>
              <w:spacing w:before="0" w:after="0" w:line="240" w:lineRule="auto"/>
              <w:jc w:val="right"/>
            </w:pPr>
            <w:r>
              <w:rPr>
                <w:b/>
                <w:i w:val="0"/>
                <w:color w:val="FFFFFF"/>
                <w:sz w:val="15"/>
              </w:rPr>
              <w:t>Total ascent (m)</w:t>
            </w:r>
          </w:p>
        </w:tc>
        <w:tc>
          <w:tcPr>
            <w:tcW w:type="dxa" w:w="1541"/>
            <w:shd w:val="clear" w:color="auto" w:fill="0F2742"/>
            <w:vAlign w:val="center"/>
          </w:tcPr>
          <w:p>
            <w:pPr>
              <w:keepNext/>
              <w:spacing w:before="0" w:after="0" w:line="240" w:lineRule="auto"/>
              <w:jc w:val="right"/>
            </w:pPr>
            <w:r>
              <w:rPr>
                <w:b/>
                <w:i w:val="0"/>
                <w:color w:val="FFFFFF"/>
                <w:sz w:val="15"/>
              </w:rPr>
              <w:t>Max grade (%)</w:t>
            </w:r>
          </w:p>
        </w:tc>
      </w:tr>
      <w:tr>
        <w:trPr>
          <w:cantSplit/>
        </w:trPr>
        <w:tc>
          <w:tcPr>
            <w:tcW w:type="dxa" w:w="3494"/>
            <w:vAlign w:val="center"/>
          </w:tcPr>
          <w:p>
            <w:pPr>
              <w:spacing w:before="0" w:after="0" w:line="240" w:lineRule="auto"/>
              <w:jc w:val="left"/>
            </w:pPr>
            <w:r>
              <w:rPr>
                <w:b w:val="0"/>
                <w:i w:val="0"/>
                <w:color w:val="12233A"/>
                <w:sz w:val="16"/>
              </w:rPr>
              <w:t>33 kV cable route</w:t>
            </w:r>
          </w:p>
        </w:tc>
        <w:tc>
          <w:tcPr>
            <w:tcW w:type="dxa" w:w="1336"/>
            <w:vAlign w:val="center"/>
          </w:tcPr>
          <w:p>
            <w:pPr>
              <w:spacing w:before="0" w:after="0" w:line="240" w:lineRule="auto"/>
              <w:jc w:val="right"/>
            </w:pPr>
            <w:r>
              <w:rPr>
                <w:b w:val="0"/>
                <w:i w:val="0"/>
                <w:color w:val="12233A"/>
                <w:sz w:val="16"/>
              </w:rPr>
              <w:t>2.03</w:t>
            </w:r>
          </w:p>
        </w:tc>
        <w:tc>
          <w:tcPr>
            <w:tcW w:type="dxa" w:w="1952"/>
            <w:vAlign w:val="center"/>
          </w:tcPr>
          <w:p>
            <w:pPr>
              <w:spacing w:before="0" w:after="0" w:line="240" w:lineRule="auto"/>
              <w:jc w:val="right"/>
            </w:pPr>
            <w:r>
              <w:rPr>
                <w:b w:val="0"/>
                <w:i w:val="0"/>
                <w:color w:val="12233A"/>
                <w:sz w:val="16"/>
              </w:rPr>
              <w:t>2.2–5.5</w:t>
            </w:r>
          </w:p>
        </w:tc>
        <w:tc>
          <w:tcPr>
            <w:tcW w:type="dxa" w:w="1541"/>
            <w:vAlign w:val="center"/>
          </w:tcPr>
          <w:p>
            <w:pPr>
              <w:spacing w:before="0" w:after="0" w:line="240" w:lineRule="auto"/>
              <w:jc w:val="right"/>
            </w:pPr>
            <w:r>
              <w:rPr>
                <w:b w:val="0"/>
                <w:i w:val="0"/>
                <w:color w:val="12233A"/>
                <w:sz w:val="16"/>
              </w:rPr>
              <w:t>5.3</w:t>
            </w:r>
          </w:p>
        </w:tc>
        <w:tc>
          <w:tcPr>
            <w:tcW w:type="dxa" w:w="1541"/>
            <w:vAlign w:val="center"/>
          </w:tcPr>
          <w:p>
            <w:pPr>
              <w:spacing w:before="0" w:after="0" w:line="240" w:lineRule="auto"/>
              <w:jc w:val="right"/>
            </w:pPr>
            <w:r>
              <w:rPr>
                <w:b w:val="0"/>
                <w:i w:val="0"/>
                <w:color w:val="12233A"/>
                <w:sz w:val="16"/>
              </w:rPr>
              <w:t>2.1</w:t>
            </w:r>
          </w:p>
        </w:tc>
      </w:tr>
    </w:tbl>
    <w:p>
      <w:pPr>
        <w:spacing w:before="0" w:after="0" w:line="80" w:lineRule="exact"/>
      </w:pPr>
      <w:r>
        <w:rPr>
          <w:sz w:val="8"/>
        </w:rPr>
      </w:r>
    </w:p>
    <w:p>
      <w:pPr>
        <w:pStyle w:val="Heading2"/>
      </w:pPr>
      <w:r>
        <w:t>Points</w:t>
      </w:r>
    </w:p>
    <w:tbl>
      <w:tblPr>
        <w:tblW w:type="dxa" w:w="9866"/>
        <w:jc w:val="left"/>
        <w:tblBorders>
          <w:top w:val="nil"/>
          <w:left w:val="nil"/>
          <w:bottom w:val="single" w:sz="8" w:space="0" w:color="0F2742"/>
          <w:right w:val="nil"/>
          <w:insideH w:val="single" w:sz="4" w:space="0" w:color="D6DCE3"/>
          <w:insideV w:val="nil"/>
        </w:tblBorders>
        <w:tblLayout w:type="fixed"/>
        <w:tblCellMar>
          <w:top w:w="70" w:type="dxa"/>
          <w:left w:w="90" w:type="dxa"/>
          <w:bottom w:w="70" w:type="dxa"/>
          <w:right w:w="90" w:type="dxa"/>
        </w:tblCellMar>
        <w:tblLook w:firstColumn="1" w:firstRow="1" w:lastColumn="0" w:lastRow="0" w:noHBand="0" w:noVBand="1" w:val="04A0"/>
      </w:tblPr>
      <w:tblGrid>
        <w:gridCol w:w="4141"/>
        <w:gridCol w:w="1949"/>
        <w:gridCol w:w="1949"/>
        <w:gridCol w:w="1827"/>
      </w:tblGrid>
      <w:tr>
        <w:trPr>
          <w:tblHeader/>
          <w:cantSplit/>
        </w:trPr>
        <w:tc>
          <w:tcPr>
            <w:tcW w:type="dxa" w:w="4141"/>
            <w:shd w:val="clear" w:color="auto" w:fill="0F2742"/>
            <w:vAlign w:val="center"/>
          </w:tcPr>
          <w:p>
            <w:pPr>
              <w:keepNext/>
              <w:spacing w:before="0" w:after="0" w:line="240" w:lineRule="auto"/>
              <w:jc w:val="left"/>
            </w:pPr>
            <w:r>
              <w:rPr>
                <w:b/>
                <w:i w:val="0"/>
                <w:color w:val="FFFFFF"/>
                <w:sz w:val="15"/>
              </w:rPr>
              <w:t>Point</w:t>
            </w:r>
          </w:p>
        </w:tc>
        <w:tc>
          <w:tcPr>
            <w:tcW w:type="dxa" w:w="1949"/>
            <w:shd w:val="clear" w:color="auto" w:fill="0F2742"/>
            <w:vAlign w:val="center"/>
          </w:tcPr>
          <w:p>
            <w:pPr>
              <w:keepNext/>
              <w:spacing w:before="0" w:after="0" w:line="240" w:lineRule="auto"/>
              <w:jc w:val="right"/>
            </w:pPr>
            <w:r>
              <w:rPr>
                <w:b/>
                <w:i w:val="0"/>
                <w:color w:val="FFFFFF"/>
                <w:sz w:val="15"/>
              </w:rPr>
              <w:t>Latitude (°)</w:t>
            </w:r>
          </w:p>
        </w:tc>
        <w:tc>
          <w:tcPr>
            <w:tcW w:type="dxa" w:w="1949"/>
            <w:shd w:val="clear" w:color="auto" w:fill="0F2742"/>
            <w:vAlign w:val="center"/>
          </w:tcPr>
          <w:p>
            <w:pPr>
              <w:keepNext/>
              <w:spacing w:before="0" w:after="0" w:line="240" w:lineRule="auto"/>
              <w:jc w:val="right"/>
            </w:pPr>
            <w:r>
              <w:rPr>
                <w:b/>
                <w:i w:val="0"/>
                <w:color w:val="FFFFFF"/>
                <w:sz w:val="15"/>
              </w:rPr>
              <w:t>Longitude (°)</w:t>
            </w:r>
          </w:p>
        </w:tc>
        <w:tc>
          <w:tcPr>
            <w:tcW w:type="dxa" w:w="1827"/>
            <w:shd w:val="clear" w:color="auto" w:fill="0F2742"/>
            <w:vAlign w:val="center"/>
          </w:tcPr>
          <w:p>
            <w:pPr>
              <w:keepNext/>
              <w:spacing w:before="0" w:after="0" w:line="240" w:lineRule="auto"/>
              <w:jc w:val="right"/>
            </w:pPr>
            <w:r>
              <w:rPr>
                <w:b/>
                <w:i w:val="0"/>
                <w:color w:val="FFFFFF"/>
                <w:sz w:val="15"/>
              </w:rPr>
              <w:t>Elevation (m)</w:t>
            </w:r>
          </w:p>
        </w:tc>
      </w:tr>
      <w:tr>
        <w:trPr>
          <w:cantSplit/>
        </w:trPr>
        <w:tc>
          <w:tcPr>
            <w:tcW w:type="dxa" w:w="4141"/>
            <w:vAlign w:val="center"/>
          </w:tcPr>
          <w:p>
            <w:pPr>
              <w:spacing w:before="0" w:after="0" w:line="240" w:lineRule="auto"/>
              <w:jc w:val="left"/>
            </w:pPr>
            <w:r>
              <w:rPr>
                <w:b w:val="0"/>
                <w:i w:val="0"/>
                <w:color w:val="12233A"/>
                <w:sz w:val="16"/>
              </w:rPr>
              <w:t>PMU</w:t>
            </w:r>
          </w:p>
        </w:tc>
        <w:tc>
          <w:tcPr>
            <w:tcW w:type="dxa" w:w="1949"/>
            <w:vAlign w:val="center"/>
          </w:tcPr>
          <w:p>
            <w:pPr>
              <w:spacing w:before="0" w:after="0" w:line="240" w:lineRule="auto"/>
              <w:jc w:val="right"/>
            </w:pPr>
            <w:r>
              <w:rPr>
                <w:b w:val="0"/>
                <w:i w:val="0"/>
                <w:color w:val="12233A"/>
                <w:sz w:val="16"/>
              </w:rPr>
              <w:t>6.05290</w:t>
            </w:r>
          </w:p>
        </w:tc>
        <w:tc>
          <w:tcPr>
            <w:tcW w:type="dxa" w:w="1949"/>
            <w:vAlign w:val="center"/>
          </w:tcPr>
          <w:p>
            <w:pPr>
              <w:spacing w:before="0" w:after="0" w:line="240" w:lineRule="auto"/>
              <w:jc w:val="right"/>
            </w:pPr>
            <w:r>
              <w:rPr>
                <w:b w:val="0"/>
                <w:i w:val="0"/>
                <w:color w:val="12233A"/>
                <w:sz w:val="16"/>
              </w:rPr>
              <w:t>100.37380</w:t>
            </w:r>
          </w:p>
        </w:tc>
        <w:tc>
          <w:tcPr>
            <w:tcW w:type="dxa" w:w="1827"/>
            <w:vAlign w:val="center"/>
          </w:tcPr>
          <w:p>
            <w:pPr>
              <w:spacing w:before="0" w:after="0" w:line="240" w:lineRule="auto"/>
              <w:jc w:val="right"/>
            </w:pPr>
            <w:r>
              <w:rPr>
                <w:b w:val="0"/>
                <w:i w:val="0"/>
                <w:color w:val="12233A"/>
                <w:sz w:val="16"/>
              </w:rPr>
              <w:t>5.3</w:t>
            </w:r>
          </w:p>
        </w:tc>
      </w:tr>
    </w:tbl>
    <w:p>
      <w:pPr>
        <w:spacing w:before="0" w:after="0" w:line="80" w:lineRule="exact"/>
      </w:pPr>
      <w:r>
        <w:rPr>
          <w:sz w:val="8"/>
        </w:rPr>
      </w:r>
    </w:p>
    <w:p>
      <w:pPr>
        <w:pStyle w:val="Heading1"/>
        <w:pageBreakBefore/>
      </w:pPr>
      <w:r>
        <w:t>Figures</w:t>
      </w:r>
    </w:p>
    <w:p>
      <w:pPr>
        <w:pStyle w:val="Heading2"/>
      </w:pPr>
      <w:r>
        <w:t>Figure 1. Site layout</w:t>
      </w:r>
    </w:p>
    <w:p>
      <w:pPr>
        <w:keepNext/>
        <w:jc w:val="center"/>
      </w:pPr>
      <w:r>
        <w:drawing>
          <wp:inline xmlns:a="http://schemas.openxmlformats.org/drawingml/2006/main" xmlns:pic="http://schemas.openxmlformats.org/drawingml/2006/picture">
            <wp:extent cx="5760000" cy="4561066"/>
            <wp:docPr id="1" name="Picture 1" descr="Figure 1. Site layout"/>
            <wp:cNvGraphicFramePr>
              <a:graphicFrameLocks noChangeAspect="1"/>
            </wp:cNvGraphicFramePr>
            <a:graphic>
              <a:graphicData uri="http://schemas.openxmlformats.org/drawingml/2006/picture">
                <pic:pic>
                  <pic:nvPicPr>
                    <pic:cNvPr id="0" name="1_site_layout.png"/>
                    <pic:cNvPicPr/>
                  </pic:nvPicPr>
                  <pic:blipFill>
                    <a:blip r:embed="rId11"/>
                    <a:stretch>
                      <a:fillRect/>
                    </a:stretch>
                  </pic:blipFill>
                  <pic:spPr>
                    <a:xfrm>
                      <a:off x="0" y="0"/>
                      <a:ext cx="5760000" cy="4561066"/>
                    </a:xfrm>
                    <a:prstGeom prst="rect"/>
                  </pic:spPr>
                </pic:pic>
              </a:graphicData>
            </a:graphic>
          </wp:inline>
        </w:drawing>
      </w:r>
    </w:p>
    <w:p>
      <w:pPr>
        <w:pStyle w:val="Caption"/>
      </w:pPr>
      <w:r>
        <w:rPr>
          <w:b/>
        </w:rPr>
        <w:t xml:space="preserve">Figure 1. </w:t>
      </w:r>
      <w:r>
        <w:t>Site boundaries, routes and points as supplied in the KML, with areas in hectares, on a local UTM grid (EPSG:32647).</w:t>
      </w:r>
    </w:p>
    <w:p>
      <w:pPr>
        <w:pStyle w:val="Heading2"/>
        <w:pageBreakBefore/>
      </w:pPr>
      <w:r>
        <w:t>Figure 2. Elevation and contours</w:t>
      </w:r>
    </w:p>
    <w:p>
      <w:pPr>
        <w:keepNext/>
        <w:jc w:val="center"/>
      </w:pPr>
      <w:r>
        <w:drawing>
          <wp:inline xmlns:a="http://schemas.openxmlformats.org/drawingml/2006/main" xmlns:pic="http://schemas.openxmlformats.org/drawingml/2006/picture">
            <wp:extent cx="5760000" cy="3985398"/>
            <wp:docPr id="2" name="Picture 2" descr="Figure 2. Elevation and contours"/>
            <wp:cNvGraphicFramePr>
              <a:graphicFrameLocks noChangeAspect="1"/>
            </wp:cNvGraphicFramePr>
            <a:graphic>
              <a:graphicData uri="http://schemas.openxmlformats.org/drawingml/2006/picture">
                <pic:pic>
                  <pic:nvPicPr>
                    <pic:cNvPr id="0" name="2_elevation.png"/>
                    <pic:cNvPicPr/>
                  </pic:nvPicPr>
                  <pic:blipFill>
                    <a:blip r:embed="rId12"/>
                    <a:stretch>
                      <a:fillRect/>
                    </a:stretch>
                  </pic:blipFill>
                  <pic:spPr>
                    <a:xfrm>
                      <a:off x="0" y="0"/>
                      <a:ext cx="5760000" cy="3985398"/>
                    </a:xfrm>
                    <a:prstGeom prst="rect"/>
                  </pic:spPr>
                </pic:pic>
              </a:graphicData>
            </a:graphic>
          </wp:inline>
        </w:drawing>
      </w:r>
    </w:p>
    <w:p>
      <w:pPr>
        <w:pStyle w:val="Caption"/>
      </w:pPr>
      <w:r>
        <w:rPr>
          <w:b/>
        </w:rPr>
        <w:t xml:space="preserve">Figure 2. </w:t>
      </w:r>
      <w:r>
        <w:t>Shaded Copernicus DEM GLO-30 elevation with contours every 5 m; tree canopy and buildings are included in the surface.</w:t>
      </w:r>
    </w:p>
    <w:p>
      <w:pPr>
        <w:pStyle w:val="Heading2"/>
        <w:pageBreakBefore/>
      </w:pPr>
      <w:r>
        <w:t>Figure 3. Slope classes</w:t>
      </w:r>
    </w:p>
    <w:p>
      <w:pPr>
        <w:keepNext/>
        <w:jc w:val="center"/>
      </w:pPr>
      <w:r>
        <w:drawing>
          <wp:inline xmlns:a="http://schemas.openxmlformats.org/drawingml/2006/main" xmlns:pic="http://schemas.openxmlformats.org/drawingml/2006/picture">
            <wp:extent cx="5760000" cy="3538758"/>
            <wp:docPr id="3" name="Picture 3" descr="Figure 3. Slope classes"/>
            <wp:cNvGraphicFramePr>
              <a:graphicFrameLocks noChangeAspect="1"/>
            </wp:cNvGraphicFramePr>
            <a:graphic>
              <a:graphicData uri="http://schemas.openxmlformats.org/drawingml/2006/picture">
                <pic:pic>
                  <pic:nvPicPr>
                    <pic:cNvPr id="0" name="3_slope_classes.png"/>
                    <pic:cNvPicPr/>
                  </pic:nvPicPr>
                  <pic:blipFill>
                    <a:blip r:embed="rId13"/>
                    <a:stretch>
                      <a:fillRect/>
                    </a:stretch>
                  </pic:blipFill>
                  <pic:spPr>
                    <a:xfrm>
                      <a:off x="0" y="0"/>
                      <a:ext cx="5760000" cy="3538758"/>
                    </a:xfrm>
                    <a:prstGeom prst="rect"/>
                  </pic:spPr>
                </pic:pic>
              </a:graphicData>
            </a:graphic>
          </wp:inline>
        </w:drawing>
      </w:r>
    </w:p>
    <w:p>
      <w:pPr>
        <w:pStyle w:val="Caption"/>
      </w:pPr>
      <w:r>
        <w:rPr>
          <w:b/>
        </w:rPr>
        <w:t xml:space="preserve">Figure 3. </w:t>
      </w:r>
      <w:r>
        <w:t>Slope from the elevation model in seven bands, with the KPKT slope-class boundaries at 15°, 25° and 35°; by slope alone, 100.0% of the site area is Class I (below 15°).</w:t>
      </w:r>
    </w:p>
    <w:p>
      <w:pPr>
        <w:pStyle w:val="Heading2"/>
        <w:pageBreakBefore/>
      </w:pPr>
      <w:r>
        <w:t>Figure 4. Terrain profiles</w:t>
      </w:r>
    </w:p>
    <w:p>
      <w:pPr>
        <w:keepNext/>
        <w:jc w:val="center"/>
      </w:pPr>
      <w:r>
        <w:drawing>
          <wp:inline xmlns:a="http://schemas.openxmlformats.org/drawingml/2006/main" xmlns:pic="http://schemas.openxmlformats.org/drawingml/2006/picture">
            <wp:extent cx="5760000" cy="4750080"/>
            <wp:docPr id="4" name="Picture 4" descr="Figure 4. Terrain profiles"/>
            <wp:cNvGraphicFramePr>
              <a:graphicFrameLocks noChangeAspect="1"/>
            </wp:cNvGraphicFramePr>
            <a:graphic>
              <a:graphicData uri="http://schemas.openxmlformats.org/drawingml/2006/picture">
                <pic:pic>
                  <pic:nvPicPr>
                    <pic:cNvPr id="0" name="4_profiles.png"/>
                    <pic:cNvPicPr/>
                  </pic:nvPicPr>
                  <pic:blipFill>
                    <a:blip r:embed="rId14"/>
                    <a:stretch>
                      <a:fillRect/>
                    </a:stretch>
                  </pic:blipFill>
                  <pic:spPr>
                    <a:xfrm>
                      <a:off x="0" y="0"/>
                      <a:ext cx="5760000" cy="4750080"/>
                    </a:xfrm>
                    <a:prstGeom prst="rect"/>
                  </pic:spPr>
                </pic:pic>
              </a:graphicData>
            </a:graphic>
          </wp:inline>
        </w:drawing>
      </w:r>
    </w:p>
    <w:p>
      <w:pPr>
        <w:pStyle w:val="Caption"/>
      </w:pPr>
      <w:r>
        <w:rPr>
          <w:b/>
        </w:rPr>
        <w:t xml:space="preserve">Figure 4. </w:t>
      </w:r>
      <w:r>
        <w:t>West–east and south–north sections through “Lot A paddy”, plus the elevation profile along 1 route; the vertical scale is exaggerated and not to scale.</w:t>
      </w:r>
    </w:p>
    <w:p>
      <w:pPr>
        <w:pStyle w:val="Heading1"/>
        <w:pageBreakBefore/>
      </w:pPr>
      <w:r>
        <w:t>Recommended follow-up studies</w:t>
      </w:r>
    </w:p>
    <w:p>
      <w:pPr>
        <w:pStyle w:val="ListNumber"/>
        <w:spacing w:after="120"/>
      </w:pPr>
      <w:r>
        <w:rPr>
          <w:b/>
          <w:color w:val="0F2742"/>
        </w:rPr>
        <w:t>Licensed topographic survey</w:t>
      </w:r>
      <w:r>
        <w:br/>
      </w:r>
      <w:r>
        <w:t>Before layout, earthworks or drainage design, commission a topographic survey by a licensed land surveyor (Licensed Land Surveyors Act 1958, Act 458), or LiDAR / drone photogrammetry tied to surveyed ground control points.</w:t>
      </w:r>
    </w:p>
    <w:p>
      <w:pPr>
        <w:pStyle w:val="ListNumber"/>
        <w:spacing w:after="120"/>
      </w:pPr>
      <w:r>
        <w:rPr>
          <w:b/>
          <w:color w:val="0F2742"/>
        </w:rPr>
        <w:t>Geological map review (JMG)</w:t>
      </w:r>
      <w:r>
        <w:br/>
      </w:r>
      <w:r>
        <w:t>Review the Jabatan Mineral dan Geosains (JMG) geological map sheet for the site: formation, lithology and any karst or ex-mining ground that affects piling, anchoring or foundations.</w:t>
      </w:r>
    </w:p>
    <w:p>
      <w:pPr>
        <w:pStyle w:val="ListNumber"/>
        <w:spacing w:after="120"/>
      </w:pPr>
      <w:r>
        <w:rPr>
          <w:b/>
          <w:color w:val="0F2742"/>
        </w:rPr>
        <w:t>Rainfall and climate data (MET Malaysia)</w:t>
      </w:r>
      <w:r>
        <w:br/>
      </w:r>
      <w:r>
        <w:t>Obtain climate normals and rainfall records from the nearest MET Malaysia station; rainfall intensity feeds stormwater design to MSMA 2nd Edition.</w:t>
      </w:r>
    </w:p>
    <w:p>
      <w:pPr>
        <w:pStyle w:val="ListNumber"/>
        <w:spacing w:after="120"/>
      </w:pPr>
      <w:r>
        <w:rPr>
          <w:b/>
          <w:color w:val="0F2742"/>
        </w:rPr>
        <w:t>Surrounding land-use scan (1 / 5 / 10 km)</w:t>
      </w:r>
      <w:r>
        <w:br/>
      </w:r>
      <w:r>
        <w:t>Map settlements, schools, rivers and water intakes, forest reserves, industry and mining within 1 km, 5 km and 10 km of the site as context for EIA and SIA scoping.</w:t>
      </w:r>
    </w:p>
    <w:p>
      <w:pPr>
        <w:pStyle w:val="ListNumber"/>
        <w:spacing w:after="120"/>
      </w:pPr>
      <w:r>
        <w:rPr>
          <w:b/>
          <w:color w:val="0F2742"/>
        </w:rPr>
        <w:t>Land title, zoning and local authority requirements</w:t>
      </w:r>
      <w:r>
        <w:br/>
      </w:r>
      <w:r>
        <w:t>Confirm the land title, category of land use and any express conditions, the zoning in the local plan (Rancangan Tempatan), and the requirements of the local authority (PBT) for this type of development.</w:t>
      </w:r>
    </w:p>
    <w:p>
      <w:pPr>
        <w:pStyle w:val="ListNumber"/>
        <w:spacing w:after="120"/>
      </w:pPr>
      <w:r>
        <w:rPr>
          <w:b/>
          <w:color w:val="0F2742"/>
        </w:rPr>
        <w:t>Confirm EIA applicability with a DOE-registered EIA consultant</w:t>
      </w:r>
      <w:r>
        <w:br/>
      </w:r>
      <w:r>
        <w:t>Have a DOE-registered EIA consultant check the layout, land cover and areas to be cleared against the First and Second Schedules of the EIA Order 2015 (in Sabah and Sarawak, against the state's requirements) before committing to the site.</w:t>
      </w:r>
    </w:p>
    <w:p>
      <w:pPr>
        <w:pStyle w:val="ListNumber"/>
        <w:spacing w:after="120"/>
      </w:pPr>
      <w:r>
        <w:rPr>
          <w:b/>
          <w:color w:val="0F2742"/>
        </w:rPr>
        <w:t>Route wayleave and crossings</w:t>
      </w:r>
      <w:r>
        <w:br/>
      </w:r>
      <w:r>
        <w:t>Confirm land access and wayleaves along the cable or access route and identify road, river and railway crossings and TNB technical requirements; none of these show on an elevation model.</w:t>
      </w:r>
    </w:p>
    <w:p>
      <w:pPr>
        <w:pStyle w:val="Heading1"/>
      </w:pPr>
      <w:r>
        <w:t>Caveats and limitations</w:t>
      </w:r>
    </w:p>
    <w:p>
      <w:pPr>
        <w:pStyle w:val="ListBullet"/>
        <w:spacing w:after="80"/>
      </w:pPr>
      <w:r>
        <w:t>Screening grade only: this is a desktop terrain screening from an open global elevation model. It is not a survey under the Licensed Land Surveyors Act 1958 (Act 458), not engineering design, and not for planning applications or any other authority submission.</w:t>
      </w:r>
    </w:p>
    <w:p>
      <w:pPr>
        <w:pStyle w:val="ListBullet"/>
        <w:spacing w:after="80"/>
      </w:pPr>
      <w:r>
        <w:t>The Copernicus DEM GLO-30 is a digital surface model (DSM): vegetation and buildings were not removed, so plantations, forest and built-up areas read higher than the ground beneath them, and slopes at their edges can be exaggerated. Water bodies were flattened during editing, so over water it shows a level surface and nothing about depth.</w:t>
      </w:r>
    </w:p>
    <w:p>
      <w:pPr>
        <w:pStyle w:val="ListBullet"/>
        <w:spacing w:after="80"/>
      </w:pPr>
      <w:r>
        <w:t>Accuracy: the Copernicus DEM specification is an absolute vertical accuracy better than 4 m and a relative vertical accuracy better than 2 m on slopes up to 20% (4 m on steeper slopes), both as 90% linear error (LE90). Independent checks are weaker under forest: in a global study against ICESat-2 ground heights where canopy cover exceeded 50%, 90% of errors were within 26.55 m and the mean error was +12.09 m, so the model read high (Hawker et al. 2022, Environ. Res. Lett. 17 024016). Against 38 GNSS benchmarks in Perlis, Malaysia, its RMSE was 2.45 m (Sibaruddin et al. 2026).</w:t>
      </w:r>
    </w:p>
    <w:p>
      <w:pPr>
        <w:pStyle w:val="ListBullet"/>
        <w:spacing w:after="80"/>
      </w:pPr>
      <w:r>
        <w:t>Elevations show the surface as it was in December 2010 – January 2015 (TanDEM-X acquisitions). Ponds, cuttings, platforms and buildings made since then are not represented.</w:t>
      </w:r>
    </w:p>
    <w:p>
      <w:pPr>
        <w:pStyle w:val="ListBullet"/>
        <w:spacing w:after="80"/>
      </w:pPr>
      <w:r>
        <w:t>Slopes are computed on a grid of about 31 m (nominal 30 m resolution). Each slope value averages over neighbouring cells, so short steep features such as bund faces, drain banks, stream banks and cuttings are smoothed out, and the shares of ground steeper than 15°, 25° and 35° are likely to be understated.</w:t>
      </w:r>
    </w:p>
    <w:p>
      <w:pPr>
        <w:pStyle w:val="ListBullet"/>
        <w:spacing w:after="80"/>
      </w:pPr>
      <w:r>
        <w:t>Contours are drawn every 5 m. The ASPRS Positional Accuracy Standards (2014, repeated in 2023) relate a contour interval to digital elevation data as twice the 90% vertical error (LE90) against true ground; with the specified absolute LE90 of under 4 m that corresponds to about 8 m, and far coarser under forest canopy. Contours are drawn for context only and are not to a mapping standard.</w:t>
      </w:r>
    </w:p>
    <w:p>
      <w:pPr>
        <w:pStyle w:val="ListBullet"/>
        <w:spacing w:after="80"/>
      </w:pPr>
      <w:r>
        <w:t>Slope direction (aspect) is not assessed. At Malaysian latitudes (about 1–7°N) it is secondary to earthworks, drainage and geotechnics: the Global Solar Atlas gives optimum fixed tilts of only 2–8° at four sample points across Malaysia, gaining under 1% over horizontal. IFC (2015, s.6.3.4) says a site should ideally be flat or on a slight south-facing slope in the northern hemisphere.</w:t>
      </w:r>
    </w:p>
    <w:p>
      <w:pPr>
        <w:pStyle w:val="ListBullet"/>
        <w:spacing w:after="80"/>
      </w:pPr>
      <w:r>
        <w:t>State and district come from DOSM boundaries at the centroid of the uploaded features and are for orientation; the state-specific notes depend on that lookup. Local authority areas, Special Management Areas, forest reserves and land titles are not checked.</w:t>
      </w:r>
    </w:p>
    <w:p>
      <w:pPr>
        <w:pStyle w:val="ListBullet"/>
        <w:spacing w:after="80"/>
      </w:pPr>
      <w:r>
        <w:t>Regulatory notes summarise published instruments and, where marked, news reports. They are a screening aid, not legal advice; requirements change and are applied by the relevant authorities, so confirm them before relying on them.</w:t>
      </w:r>
    </w:p>
    <w:p>
      <w:pPr>
        <w:pStyle w:val="ListBullet"/>
        <w:spacing w:after="80"/>
      </w:pPr>
      <w:r>
        <w:t>Site geometry is used exactly as supplied in the uploaded KML/KMZ file; it has not been checked against title plans or survey boundaries.</w:t>
      </w:r>
    </w:p>
    <w:p>
      <w:pPr>
        <w:pStyle w:val="Heading1"/>
      </w:pPr>
      <w:r>
        <w:t>Data sources and attribution</w:t>
      </w:r>
    </w:p>
    <w:p>
      <w:pPr>
        <w:pStyle w:val="ListBullet"/>
        <w:spacing w:after="80"/>
      </w:pPr>
      <w:r>
        <w:rPr>
          <w:b/>
        </w:rPr>
        <w:t xml:space="preserve">Elevation data: </w:t>
      </w:r>
      <w:r>
        <w:t>Produced using Copernicus WorldDEM-30 © DLR e.V. 2010-2014 and © Airbus Defence and Space GmbH 2014-2018 provided under COPERNICUS by the European Union and ESA; all rights reserved.</w:t>
      </w:r>
    </w:p>
    <w:p>
      <w:pPr>
        <w:pStyle w:val="ListBullet"/>
        <w:spacing w:after="80"/>
      </w:pPr>
      <w:r>
        <w:rPr>
          <w:b/>
        </w:rPr>
        <w:t xml:space="preserve">Elevation data notice: </w:t>
      </w:r>
      <w:r>
        <w:t>The organisations in charge of the Copernicus programme by law or by delegation do not incur any liability for any use of the Copernicus WorldDEM-30.</w:t>
      </w:r>
    </w:p>
    <w:p>
      <w:pPr>
        <w:pStyle w:val="ListBullet"/>
        <w:spacing w:after="80"/>
      </w:pPr>
      <w:r>
        <w:rPr>
          <w:b/>
        </w:rPr>
        <w:t xml:space="preserve">Elevation model: </w:t>
      </w:r>
      <w:r>
        <w:t>Copernicus DEM GLO-30; DSM (surface model: includes tree canopy and buildings); acquired December 2010 – January 2015 (TanDEM-X acquisitions); vertical datum EGM2008; 30 m nominal resolution, analysed at 30.7 m over 6,402 cells (0.0% without data).</w:t>
      </w:r>
    </w:p>
    <w:p>
      <w:pPr>
        <w:pStyle w:val="ListBullet"/>
        <w:spacing w:after="80"/>
      </w:pPr>
      <w:r>
        <w:rPr>
          <w:b/>
        </w:rPr>
        <w:t xml:space="preserve">State and district boundaries: </w:t>
      </w:r>
      <w:r>
        <w:t>Department of Statistics Malaysia (DOSM) open data (github.com/dosm-malaysia/data-open), used under the DOSM Open Data Licence. No endorsement by DOSM is implied.</w:t>
      </w:r>
    </w:p>
    <w:p>
      <w:pPr>
        <w:pStyle w:val="ListBullet"/>
        <w:spacing w:after="80"/>
      </w:pPr>
      <w:r>
        <w:rPr>
          <w:b/>
        </w:rPr>
        <w:t xml:space="preserve">Method: </w:t>
      </w:r>
      <w:r>
        <w:t>areas and lengths are geodesic on the WGS 84 ellipsoid; slopes are computed on the elevation model's geographic grid; maps are drawn on a local UTM grid (EPSG:32647).</w:t>
      </w:r>
    </w:p>
    <w:p>
      <w:pPr>
        <w:pStyle w:val="ListBullet"/>
        <w:spacing w:after="80"/>
      </w:pPr>
      <w:r>
        <w:rPr>
          <w:b/>
        </w:rPr>
        <w:t xml:space="preserve">Site geometry: </w:t>
      </w:r>
      <w:r>
        <w:t>flat_site_kedah.kml, used as supplied (SHA-256 045a5befe1ca93a2…).</w:t>
      </w:r>
    </w:p>
    <w:p>
      <w:pPr>
        <w:pStyle w:val="ListBullet"/>
        <w:spacing w:after="80"/>
      </w:pPr>
      <w:r>
        <w:rPr>
          <w:b/>
        </w:rPr>
        <w:t xml:space="preserve">Analysis: </w:t>
      </w:r>
      <w:r>
        <w:t>EcoEnergy terrain screening engine v1</w:t>
      </w:r>
    </w:p>
    <w:p>
      <w:pPr>
        <w:pStyle w:val="Heading1"/>
      </w:pPr>
      <w:r>
        <w:t>Disclaimer</w:t>
      </w:r>
    </w:p>
    <w:p>
      <w:r>
        <w:rPr>
          <w:i w:val="0"/>
          <w:color w:val="12233A"/>
          <w:sz w:val="20"/>
        </w:rPr>
        <w:t>This report is a desktop screening produced automatically from open global elevation data, for early-stage site comparison only. It is not a topographic survey, not engineering design and not for submission to any authority. A topographic survey by a licensed land surveyor (Licensed Land Surveyors Act 1958) is required for design. EcoEnergy Consultancy accepts no liability for decisions made solely on the basis of this screening.</w:t>
      </w:r>
    </w:p>
    <w:p>
      <w:pPr>
        <w:pStyle w:val="Heading1"/>
      </w:pPr>
      <w:r>
        <w:t>Next step</w:t>
      </w:r>
    </w:p>
    <w:tbl>
      <w:tblPr>
        <w:tblW w:type="dxa" w:w="9865"/>
        <w:jc w:val="left"/>
        <w:tblBorders>
          <w:top w:val="nil"/>
          <w:left w:val="nil"/>
          <w:bottom w:val="nil"/>
          <w:right w:val="nil"/>
          <w:insideH w:val="nil"/>
          <w:insideV w:val="nil"/>
        </w:tblBorders>
        <w:tblLayout w:type="fixed"/>
        <w:tblLook w:firstColumn="1" w:firstRow="1" w:lastColumn="0" w:lastRow="0" w:noHBand="0" w:noVBand="1" w:val="04A0"/>
      </w:tblPr>
      <w:tblGrid>
        <w:gridCol w:w="9865"/>
      </w:tblGrid>
      <w:tr>
        <w:tc>
          <w:tcPr>
            <w:tcW w:type="dxa" w:w="9865"/>
            <w:tcBorders>
              <w:top w:val="single" w:sz="24" w:space="0" w:color="D4A23A"/>
            </w:tcBorders>
            <w:shd w:val="clear" w:color="auto" w:fill="0F2742"/>
            <w:tcMar>
              <w:top w:w="320" w:type="dxa"/>
              <w:left w:w="360" w:type="dxa"/>
              <w:bottom w:w="340" w:type="dxa"/>
              <w:right w:w="360" w:type="dxa"/>
            </w:tcMar>
          </w:tcPr>
          <w:p>
            <w:pPr>
              <w:spacing w:before="0" w:after="120" w:line="240" w:lineRule="auto"/>
            </w:pPr>
            <w:r>
              <w:rPr>
                <w:b/>
                <w:color w:val="FFFFFF"/>
                <w:sz w:val="30"/>
              </w:rPr>
              <w:t>Book a free 30-minute scheme-fit consult</w:t>
            </w:r>
          </w:p>
          <w:p>
            <w:pPr>
              <w:spacing w:before="0" w:after="240" w:line="288" w:lineRule="auto"/>
            </w:pPr>
            <w:r>
              <w:rPr>
                <w:color w:val="E3E9F0"/>
                <w:sz w:val="20"/>
              </w:rPr>
              <w:t>Walk through these results with an EcoEnergy consultant. In 30 minutes we will go over the findings, check which scheme the site fits, and agree which surveys and studies to commission first.</w:t>
            </w:r>
          </w:p>
          <w:p>
            <w:pPr>
              <w:spacing w:before="0" w:after="160" w:line="240" w:lineRule="auto"/>
            </w:pPr>
            <w:hyperlink r:id="rId15" w:history="1">
              <w:r>
                <w:rPr>
                  <w:b/>
                  <w:color w:val="0F2742"/>
                  <w:sz w:val="22"/>
                  <w:u w:val="none"/>
                  <w:shd w:val="clear" w:color="auto" w:fill="D4A23A"/>
                </w:rPr>
                <w:t xml:space="preserve">   Book your consult  »   </w:t>
              </w:r>
            </w:hyperlink>
          </w:p>
          <w:p>
            <w:pPr>
              <w:spacing w:before="0" w:after="0" w:line="240" w:lineRule="auto"/>
            </w:pPr>
            <w:hyperlink r:id="rId15" w:history="1">
              <w:r>
                <w:rPr>
                  <w:color w:val="D4A23A"/>
                  <w:sz w:val="17"/>
                  <w:u w:val="single"/>
                </w:rPr>
                <w:t xml:space="preserve">www.ecoconsultancy.services/consult/</w:t>
              </w:r>
            </w:hyperlink>
          </w:p>
        </w:tc>
      </w:tr>
    </w:tbl>
    <w:p>
      <w:pPr>
        <w:spacing w:before="0" w:after="0" w:line="80" w:lineRule="exact"/>
      </w:pPr>
      <w:r>
        <w:rPr>
          <w:sz w:val="8"/>
        </w:rPr>
      </w:r>
    </w:p>
    <w:sectPr w:rsidR="00FC693F" w:rsidRPr="0006063C" w:rsidSect="00034616">
      <w:headerReference w:type="default" r:id="rId9"/>
      <w:footerReference w:type="default" r:id="rId10"/>
      <w:pgSz w:w="11906" w:h="16838"/>
      <w:pgMar w:top="1247" w:right="1020" w:bottom="1134" w:left="1020"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6DCE3"/>
      </w:pBdr>
      <w:spacing w:before="0" w:after="0" w:line="240" w:lineRule="auto"/>
      <w:jc w:val="center"/>
    </w:pPr>
    <w:r>
      <w:rPr>
        <w:color w:val="48586C"/>
        <w:sz w:val="15"/>
      </w:rPr>
      <w:t>Screening grade — not a survey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4A23A"/>
      </w:pBdr>
      <w:spacing w:before="0" w:after="0" w:line="240" w:lineRule="auto"/>
    </w:pPr>
    <w:r>
      <w:rPr>
        <w:b/>
        <w:color w:val="0F2742"/>
        <w:sz w:val="15"/>
      </w:rPr>
      <w:t>EcoEnergy Consultancy</w:t>
    </w:r>
    <w:r>
      <w:rPr>
        <w:color w:val="48586C"/>
        <w:sz w:val="15"/>
      </w:rPr>
      <w:t xml:space="preserve"> · Desktop Terrain Screening</w:t>
      <w:tab/>
      <w:t xml:space="preserve">Report BEq_flm- · page </w:t>
    </w:r>
    <w:r>
      <w:rPr>
        <w:color w:val="48586C"/>
        <w:sz w:val="15"/>
      </w:rPr>
      <w:fldChar w:fldCharType="begin"/>
    </w:r>
    <w:r>
      <w:rPr>
        <w:color w:val="48586C"/>
        <w:sz w:val="15"/>
      </w:rPr>
      <w:instrText xml:space="preserve"> PAGE </w:instrText>
    </w:r>
    <w:r>
      <w:rPr>
        <w:color w:val="48586C"/>
        <w:sz w:val="15"/>
      </w:rPr>
      <w:fldChar w:fldCharType="separate"/>
    </w:r>
    <w:r>
      <w:rPr>
        <w:color w:val="48586C"/>
        <w:sz w:val="15"/>
      </w:rPr>
      <w:t>1</w:t>
    </w:r>
    <w:r>
      <w:rPr>
        <w:color w:val="48586C"/>
        <w:sz w:val="15"/>
      </w:rPr>
      <w:fldChar w:fldCharType="end"/>
    </w:r>
    <w:r>
      <w:rPr>
        <w:color w:val="48586C"/>
        <w:sz w:val="15"/>
      </w:rPr>
      <w:t xml:space="preserve"> of </w:t>
    </w:r>
    <w:r>
      <w:rPr>
        <w:color w:val="48586C"/>
        <w:sz w:val="15"/>
      </w:rPr>
      <w:fldChar w:fldCharType="begin"/>
    </w:r>
    <w:r>
      <w:rPr>
        <w:color w:val="48586C"/>
        <w:sz w:val="15"/>
      </w:rPr>
      <w:instrText xml:space="preserve"> NUMPAGES </w:instrText>
    </w:r>
    <w:r>
      <w:rPr>
        <w:color w:val="48586C"/>
        <w:sz w:val="15"/>
      </w:rPr>
      <w:fldChar w:fldCharType="separate"/>
    </w:r>
    <w:r>
      <w:rPr>
        <w:color w:val="48586C"/>
        <w:sz w:val="15"/>
      </w:rPr>
      <w:t>1</w:t>
    </w:r>
    <w:r>
      <w:rPr>
        <w:color w:val="48586C"/>
        <w:sz w:val="15"/>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color w:val="12233A"/>
      <w:sz w:val="20"/>
    </w:rPr>
  </w:style>
  <w:style w:type="paragraph" w:styleId="Header">
    <w:name w:val="header"/>
    <w:basedOn w:val="Normal"/>
    <w:link w:val="HeaderChar"/>
    <w:uiPriority w:val="99"/>
    <w:unhideWhenUsed/>
    <w:rsid w:val="00E618BF"/>
    <w:pPr>
      <w:tabs>
        <w:tab w:pos="9865" w:val="right"/>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865" w:val="right"/>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3" w:color="D4A23A"/>
      </w:pBdr>
      <w:spacing w:before="360" w:after="160"/>
      <w:outlineLvl w:val="0"/>
    </w:pPr>
    <w:rPr>
      <w:rFonts w:ascii="Arial" w:hAnsi="Arial" w:cs="Arial"/>
      <w:b/>
      <w:bCs/>
      <w:i w:val="0"/>
      <w:color w:val="0F2742"/>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Arial" w:hAnsi="Arial" w:cs="Arial"/>
      <w:b/>
      <w:bCs/>
      <w:i w:val="0"/>
      <w:color w:val="0F274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pPr>
    <w:rPr>
      <w:rFonts w:ascii="Arial" w:hAnsi="Arial" w:cs="Arial"/>
      <w:b w:val="0"/>
      <w:bCs/>
      <w:i w:val="0"/>
      <w:color w:val="48586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ecoconsultancy.services/consult/?utm_source=terrain_tool&amp;utm_medium=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Desktop Terrain Screening — Kota Setar paddy, Lot A</dc:title>
  <dc:subject>Desktop terrain screening report BEq_flm-piWOPpdDonFm2w</dc:subject>
  <dc:creator>EcoEnergy Consultancy</dc:creator>
  <cp:keywords>terrain screening, slope, KPKT, elevation, solar, Malaysia, Kedah, Kota Setar</cp:keywords>
  <dc:description>Screening grade — not a survey</dc:description>
  <cp:lastModifiedBy>EcoEnergy Consultancy</cp:lastModifiedBy>
  <cp:revision>1</cp:revision>
  <dcterms:created xsi:type="dcterms:W3CDTF">2026-10-13T06:50:40Z</dcterms:created>
  <dcterms:modified xsi:type="dcterms:W3CDTF">2026-10-13T06:50:40Z</dcterms:modified>
  <cp:category>Desktop terrain screening</cp:category>
  <dc:identifier>BEq_flm-piWOPpdDonFm2w</dc:identifier>
  <dc:language>en-MY</dc:language>
</cp:coreProperties>
</file>