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865"/>
        <w:jc w:val="left"/>
        <w:tblBorders>
          <w:top w:val="nil"/>
          <w:left w:val="nil"/>
          <w:bottom w:val="nil"/>
          <w:right w:val="nil"/>
          <w:insideH w:val="nil"/>
          <w:insideV w:val="nil"/>
        </w:tblBorders>
        <w:tblLayout w:type="fixed"/>
        <w:tblLook w:firstColumn="1" w:firstRow="1" w:lastColumn="0" w:lastRow="0" w:noHBand="0" w:noVBand="1" w:val="04A0"/>
      </w:tblPr>
      <w:tblGrid>
        <w:gridCol w:w="9865"/>
      </w:tblGrid>
      <w:tr>
        <w:tc>
          <w:tcPr>
            <w:tcW w:type="dxa" w:w="9865"/>
            <w:tcBorders>
              <w:bottom w:val="single" w:sz="24" w:space="0" w:color="D4A23A"/>
            </w:tcBorders>
            <w:shd w:val="clear" w:color="auto" w:fill="0F2742"/>
            <w:tcMar>
              <w:top w:w="420" w:type="dxa"/>
              <w:left w:w="360" w:type="dxa"/>
              <w:bottom w:w="440" w:type="dxa"/>
              <w:right w:w="360" w:type="dxa"/>
            </w:tcMar>
          </w:tcPr>
          <w:p>
            <w:pPr>
              <w:spacing w:before="0" w:after="200" w:line="240" w:lineRule="auto"/>
            </w:pPr>
            <w:r>
              <w:rPr>
                <w:b/>
                <w:color w:val="D4A23A"/>
                <w:spacing w:val="30"/>
                <w:sz w:val="18"/>
              </w:rPr>
              <w:t>ECOENERGY CONSULTANCY</w:t>
            </w:r>
          </w:p>
          <w:p>
            <w:pPr>
              <w:spacing w:before="0" w:after="160" w:line="240" w:lineRule="auto"/>
            </w:pPr>
            <w:r>
              <w:rPr>
                <w:b/>
                <w:color w:val="FFFFFF"/>
                <w:sz w:val="56"/>
              </w:rPr>
              <w:t>Desktop Terrain Screening</w:t>
            </w:r>
          </w:p>
          <w:p>
            <w:pPr>
              <w:spacing w:before="0" w:after="40" w:line="240" w:lineRule="auto"/>
            </w:pPr>
            <w:r>
              <w:rPr>
                <w:b/>
                <w:color w:val="FFFFFF"/>
                <w:sz w:val="30"/>
              </w:rPr>
              <w:t>Kota Setar paddy, Lot A</w:t>
            </w:r>
          </w:p>
          <w:p>
            <w:pPr>
              <w:spacing w:before="0" w:after="280" w:line="240" w:lineRule="auto"/>
            </w:pPr>
            <w:r>
              <w:rPr>
                <w:b w:val="0"/>
                <w:color w:val="AFBFCF"/>
                <w:sz w:val="21"/>
              </w:rPr>
              <w:t>Kota Setar, Kedah</w:t>
            </w:r>
          </w:p>
          <w:p>
            <w:pPr>
              <w:spacing w:before="0" w:after="0" w:line="240" w:lineRule="auto"/>
            </w:pPr>
            <w:r>
              <w:rPr>
                <w:b/>
                <w:color w:val="0F2742"/>
                <w:spacing w:val="16"/>
                <w:sz w:val="17"/>
                <w:shd w:val="clear" w:color="auto" w:fill="D4A23A"/>
              </w:rPr>
              <w:t xml:space="preserve">  SCREENING GRADE — NOT A SURVEY  </w:t>
            </w:r>
          </w:p>
        </w:tc>
      </w:tr>
    </w:tbl>
    <w:p>
      <w:pPr>
        <w:spacing w:before="0" w:after="0" w:line="280" w:lineRule="exact"/>
      </w:pPr>
      <w:r>
        <w:rPr>
          <w:sz w:val="28"/>
        </w:rPr>
      </w:r>
    </w:p>
    <w:tbl>
      <w:tblPr>
        <w:tblW w:type="dxa" w:w="9865"/>
        <w:jc w:val="left"/>
        <w:tblBorders>
          <w:top w:val="single" w:sz="8" w:space="0" w:color="0F2742"/>
          <w:left w:val="nil"/>
          <w:bottom w:val="single" w:sz="8" w:space="0" w:color="0F2742"/>
          <w:right w:val="nil"/>
          <w:insideH w:val="single" w:sz="4" w:space="0" w:color="D6DCE3"/>
          <w:insideV w:val="nil"/>
        </w:tblBorders>
        <w:tblLayout w:type="fixed"/>
        <w:tblCellMar>
          <w:top w:w="85" w:type="dxa"/>
          <w:left w:w="130" w:type="dxa"/>
          <w:bottom w:w="85" w:type="dxa"/>
          <w:right w:w="130" w:type="dxa"/>
        </w:tblCellMar>
        <w:tblLook w:firstColumn="1" w:firstRow="1" w:lastColumn="0" w:lastRow="0" w:noHBand="0" w:noVBand="1" w:val="04A0"/>
      </w:tblPr>
      <w:tblGrid>
        <w:gridCol w:w="2861"/>
        <w:gridCol w:w="7004"/>
      </w:tblGrid>
      <w:tr>
        <w:tc>
          <w:tcPr>
            <w:tcW w:type="dxa" w:w="2861"/>
            <w:shd w:val="clear" w:color="auto" w:fill="F6F3ED"/>
            <w:vAlign w:val="center"/>
          </w:tcPr>
          <w:p>
            <w:pPr>
              <w:spacing w:before="0" w:after="0" w:line="240" w:lineRule="auto"/>
              <w:jc w:val="left"/>
            </w:pPr>
            <w:r>
              <w:rPr>
                <w:b/>
                <w:i w:val="0"/>
                <w:color w:val="48586C"/>
                <w:sz w:val="17"/>
              </w:rPr>
              <w:t>Report ID</w:t>
            </w:r>
          </w:p>
        </w:tc>
        <w:tc>
          <w:tcPr>
            <w:tcW w:type="dxa" w:w="7004"/>
            <w:shd w:val="clear" w:color="auto" w:fill="F6F3ED"/>
            <w:vAlign w:val="center"/>
          </w:tcPr>
          <w:p>
            <w:pPr>
              <w:spacing w:before="0" w:after="0" w:line="240" w:lineRule="auto"/>
              <w:jc w:val="left"/>
            </w:pPr>
            <w:r>
              <w:rPr>
                <w:b w:val="0"/>
                <w:i w:val="0"/>
                <w:color w:val="12233A"/>
                <w:sz w:val="18"/>
              </w:rPr>
              <w:t>BEq_flm-piWOPpdDonFm2w</w:t>
            </w:r>
          </w:p>
        </w:tc>
      </w:tr>
      <w:tr>
        <w:tc>
          <w:tcPr>
            <w:tcW w:type="dxa" w:w="2861"/>
            <w:vAlign w:val="center"/>
          </w:tcPr>
          <w:p>
            <w:pPr>
              <w:spacing w:before="0" w:after="0" w:line="240" w:lineRule="auto"/>
              <w:jc w:val="left"/>
            </w:pPr>
            <w:r>
              <w:rPr>
                <w:b/>
                <w:i w:val="0"/>
                <w:color w:val="48586C"/>
                <w:sz w:val="17"/>
              </w:rPr>
              <w:t>Generated</w:t>
            </w:r>
          </w:p>
        </w:tc>
        <w:tc>
          <w:tcPr>
            <w:tcW w:type="dxa" w:w="7004"/>
            <w:vAlign w:val="center"/>
          </w:tcPr>
          <w:p>
            <w:pPr>
              <w:spacing w:before="0" w:after="0" w:line="240" w:lineRule="auto"/>
              <w:jc w:val="left"/>
            </w:pPr>
            <w:r>
              <w:rPr>
                <w:b w:val="0"/>
                <w:i w:val="0"/>
                <w:color w:val="12233A"/>
                <w:sz w:val="18"/>
              </w:rPr>
              <w:t>13 October 2026, 09:36 MYT</w:t>
            </w:r>
          </w:p>
        </w:tc>
      </w:tr>
      <w:tr>
        <w:tc>
          <w:tcPr>
            <w:tcW w:type="dxa" w:w="2861"/>
            <w:shd w:val="clear" w:color="auto" w:fill="F6F3ED"/>
            <w:vAlign w:val="center"/>
          </w:tcPr>
          <w:p>
            <w:pPr>
              <w:spacing w:before="0" w:after="0" w:line="240" w:lineRule="auto"/>
              <w:jc w:val="left"/>
            </w:pPr>
            <w:r>
              <w:rPr>
                <w:b/>
                <w:i w:val="0"/>
                <w:color w:val="48586C"/>
                <w:sz w:val="17"/>
              </w:rPr>
              <w:t>Site file</w:t>
            </w:r>
          </w:p>
        </w:tc>
        <w:tc>
          <w:tcPr>
            <w:tcW w:type="dxa" w:w="7004"/>
            <w:shd w:val="clear" w:color="auto" w:fill="F6F3ED"/>
            <w:vAlign w:val="center"/>
          </w:tcPr>
          <w:p>
            <w:pPr>
              <w:spacing w:before="0" w:after="0" w:line="240" w:lineRule="auto"/>
              <w:jc w:val="left"/>
            </w:pPr>
            <w:r>
              <w:rPr>
                <w:b w:val="0"/>
                <w:i w:val="0"/>
                <w:color w:val="12233A"/>
                <w:sz w:val="18"/>
              </w:rPr>
              <w:t>flat_site_kedah.kml</w:t>
            </w:r>
          </w:p>
        </w:tc>
      </w:tr>
      <w:tr>
        <w:tc>
          <w:tcPr>
            <w:tcW w:type="dxa" w:w="2861"/>
            <w:vAlign w:val="center"/>
          </w:tcPr>
          <w:p>
            <w:pPr>
              <w:spacing w:before="0" w:after="0" w:line="240" w:lineRule="auto"/>
              <w:jc w:val="left"/>
            </w:pPr>
            <w:r>
              <w:rPr>
                <w:b/>
                <w:i w:val="0"/>
                <w:color w:val="48586C"/>
                <w:sz w:val="17"/>
              </w:rPr>
              <w:t>Scheme</w:t>
            </w:r>
          </w:p>
        </w:tc>
        <w:tc>
          <w:tcPr>
            <w:tcW w:type="dxa" w:w="7004"/>
            <w:vAlign w:val="center"/>
          </w:tcPr>
          <w:p>
            <w:pPr>
              <w:spacing w:before="0" w:after="0" w:line="240" w:lineRule="auto"/>
              <w:jc w:val="left"/>
            </w:pPr>
            <w:r>
              <w:rPr>
                <w:b w:val="0"/>
                <w:i w:val="0"/>
                <w:color w:val="12233A"/>
                <w:sz w:val="18"/>
              </w:rPr>
              <w:t>Large Scale Solar (LSS)</w:t>
            </w:r>
          </w:p>
        </w:tc>
      </w:tr>
      <w:tr>
        <w:tc>
          <w:tcPr>
            <w:tcW w:type="dxa" w:w="2861"/>
            <w:shd w:val="clear" w:color="auto" w:fill="F6F3ED"/>
            <w:vAlign w:val="center"/>
          </w:tcPr>
          <w:p>
            <w:pPr>
              <w:spacing w:before="0" w:after="0" w:line="240" w:lineRule="auto"/>
              <w:jc w:val="left"/>
            </w:pPr>
            <w:r>
              <w:rPr>
                <w:b/>
                <w:i w:val="0"/>
                <w:color w:val="48586C"/>
                <w:sz w:val="17"/>
              </w:rPr>
              <w:t>Project stage</w:t>
            </w:r>
          </w:p>
        </w:tc>
        <w:tc>
          <w:tcPr>
            <w:tcW w:type="dxa" w:w="7004"/>
            <w:shd w:val="clear" w:color="auto" w:fill="F6F3ED"/>
            <w:vAlign w:val="center"/>
          </w:tcPr>
          <w:p>
            <w:pPr>
              <w:spacing w:before="0" w:after="0" w:line="240" w:lineRule="auto"/>
              <w:jc w:val="left"/>
            </w:pPr>
            <w:r>
              <w:rPr>
                <w:b w:val="0"/>
                <w:i w:val="0"/>
                <w:color w:val="12233A"/>
                <w:sz w:val="18"/>
              </w:rPr>
              <w:t>Exploring options</w:t>
            </w:r>
          </w:p>
        </w:tc>
      </w:tr>
      <w:tr>
        <w:tc>
          <w:tcPr>
            <w:tcW w:type="dxa" w:w="2861"/>
            <w:vAlign w:val="center"/>
          </w:tcPr>
          <w:p>
            <w:pPr>
              <w:spacing w:before="0" w:after="0" w:line="240" w:lineRule="auto"/>
              <w:jc w:val="left"/>
            </w:pPr>
            <w:r>
              <w:rPr>
                <w:b/>
                <w:i w:val="0"/>
                <w:color w:val="48586C"/>
                <w:sz w:val="17"/>
              </w:rPr>
              <w:t>Centroid</w:t>
            </w:r>
          </w:p>
        </w:tc>
        <w:tc>
          <w:tcPr>
            <w:tcW w:type="dxa" w:w="7004"/>
            <w:vAlign w:val="center"/>
          </w:tcPr>
          <w:p>
            <w:pPr>
              <w:spacing w:before="0" w:after="0" w:line="240" w:lineRule="auto"/>
              <w:jc w:val="left"/>
            </w:pPr>
            <w:r>
              <w:rPr>
                <w:b w:val="0"/>
                <w:i w:val="0"/>
                <w:color w:val="12233A"/>
                <w:sz w:val="18"/>
              </w:rPr>
              <w:t>6.04221° N, 100.35545° E</w:t>
            </w:r>
          </w:p>
        </w:tc>
      </w:tr>
    </w:tbl>
    <w:p>
      <w:pPr>
        <w:spacing w:before="0" w:after="0" w:line="80" w:lineRule="exact"/>
      </w:pPr>
      <w:r>
        <w:rPr>
          <w:sz w:val="8"/>
        </w:rPr>
      </w:r>
    </w:p>
    <w:p>
      <w:pPr>
        <w:pStyle w:val="Heading1"/>
      </w:pPr>
      <w:r>
        <w:t>About this report</w:t>
      </w:r>
    </w:p>
    <w:p>
      <w:r>
        <w:rPr>
          <w:i w:val="0"/>
          <w:color w:val="12233A"/>
          <w:sz w:val="22"/>
        </w:rPr>
        <w:t>This desktop screening summarises the terrain inside the boundaries supplied in flat_site_kedah.kml, using the Copernicus DEM GLO-30. It is meant for comparing candidate sites at an early stage and for deciding which surveys and studies to commission next.</w:t>
      </w:r>
    </w:p>
    <w:p>
      <w:r>
        <w:rPr>
          <w:i w:val="0"/>
          <w:color w:val="12233A"/>
          <w:sz w:val="20"/>
        </w:rPr>
        <w:t>It reports the area, elevation and slope of each site, the share of each site in the KPKT hill-land slope classes, rule-based findings and recommended follow-up studies. Every finding is generated automatically from the elevation data by fixed rules; nobody has visited the site.</w:t>
      </w:r>
    </w:p>
    <w:p>
      <w:r>
        <w:rPr>
          <w:i/>
          <w:color w:val="48586C"/>
          <w:sz w:val="17"/>
        </w:rPr>
        <w:t>Read the caveats and the disclaimer at the end of the report before relying on any figure in it.</w:t>
      </w:r>
    </w:p>
    <w:p>
      <w:pPr>
        <w:pStyle w:val="Heading1"/>
        <w:pageBreakBefore/>
      </w:pPr>
      <w:r>
        <w:t>At a glance</w:t>
      </w:r>
    </w:p>
    <w:tbl>
      <w:tblPr>
        <w:tblW w:type="dxa" w:w="9865"/>
        <w:jc w:val="left"/>
        <w:tblBorders>
          <w:top w:val="single" w:sz="8" w:space="0" w:color="0F2742"/>
          <w:left w:val="nil"/>
          <w:bottom w:val="single" w:sz="8" w:space="0" w:color="0F2742"/>
          <w:right w:val="nil"/>
          <w:insideH w:val="single" w:sz="4" w:space="0" w:color="D6DCE3"/>
          <w:insideV w:val="nil"/>
        </w:tblBorders>
        <w:tblLayout w:type="fixed"/>
        <w:tblCellMar>
          <w:top w:w="85" w:type="dxa"/>
          <w:left w:w="130" w:type="dxa"/>
          <w:bottom w:w="85" w:type="dxa"/>
          <w:right w:w="130" w:type="dxa"/>
        </w:tblCellMar>
        <w:tblLook w:firstColumn="1" w:firstRow="1" w:lastColumn="0" w:lastRow="0" w:noHBand="0" w:noVBand="1" w:val="04A0"/>
      </w:tblPr>
      <w:tblGrid>
        <w:gridCol w:w="2861"/>
        <w:gridCol w:w="7004"/>
      </w:tblGrid>
      <w:tr>
        <w:tc>
          <w:tcPr>
            <w:tcW w:type="dxa" w:w="2861"/>
            <w:shd w:val="clear" w:color="auto" w:fill="F6F3ED"/>
            <w:vAlign w:val="center"/>
          </w:tcPr>
          <w:p>
            <w:pPr>
              <w:spacing w:before="0" w:after="0" w:line="240" w:lineRule="auto"/>
              <w:jc w:val="left"/>
            </w:pPr>
            <w:r>
              <w:rPr>
                <w:b/>
                <w:i w:val="0"/>
                <w:color w:val="48586C"/>
                <w:sz w:val="17"/>
              </w:rPr>
              <w:t>Location</w:t>
            </w:r>
          </w:p>
        </w:tc>
        <w:tc>
          <w:tcPr>
            <w:tcW w:type="dxa" w:w="7004"/>
            <w:shd w:val="clear" w:color="auto" w:fill="F6F3ED"/>
            <w:vAlign w:val="center"/>
          </w:tcPr>
          <w:p>
            <w:pPr>
              <w:spacing w:before="0" w:after="0" w:line="240" w:lineRule="auto"/>
              <w:jc w:val="left"/>
            </w:pPr>
            <w:r>
              <w:rPr>
                <w:b w:val="0"/>
                <w:i w:val="0"/>
                <w:color w:val="12233A"/>
                <w:sz w:val="18"/>
              </w:rPr>
              <w:t>Kota Setar, Kedah</w:t>
            </w:r>
          </w:p>
        </w:tc>
      </w:tr>
      <w:tr>
        <w:tc>
          <w:tcPr>
            <w:tcW w:type="dxa" w:w="2861"/>
            <w:vAlign w:val="center"/>
          </w:tcPr>
          <w:p>
            <w:pPr>
              <w:spacing w:before="0" w:after="0" w:line="240" w:lineRule="auto"/>
              <w:jc w:val="left"/>
            </w:pPr>
            <w:r>
              <w:rPr>
                <w:b/>
                <w:i w:val="0"/>
                <w:color w:val="48586C"/>
                <w:sz w:val="17"/>
              </w:rPr>
              <w:t>Total site area</w:t>
            </w:r>
          </w:p>
        </w:tc>
        <w:tc>
          <w:tcPr>
            <w:tcW w:type="dxa" w:w="7004"/>
            <w:vAlign w:val="center"/>
          </w:tcPr>
          <w:p>
            <w:pPr>
              <w:spacing w:before="0" w:after="0" w:line="240" w:lineRule="auto"/>
              <w:jc w:val="left"/>
            </w:pPr>
            <w:r>
              <w:rPr>
                <w:b w:val="0"/>
                <w:i w:val="0"/>
                <w:color w:val="12233A"/>
                <w:sz w:val="18"/>
              </w:rPr>
              <w:t>42.16 ha</w:t>
            </w:r>
          </w:p>
        </w:tc>
      </w:tr>
      <w:tr>
        <w:tc>
          <w:tcPr>
            <w:tcW w:type="dxa" w:w="2861"/>
            <w:shd w:val="clear" w:color="auto" w:fill="F6F3ED"/>
            <w:vAlign w:val="center"/>
          </w:tcPr>
          <w:p>
            <w:pPr>
              <w:spacing w:before="0" w:after="0" w:line="240" w:lineRule="auto"/>
              <w:jc w:val="left"/>
            </w:pPr>
            <w:r>
              <w:rPr>
                <w:b/>
                <w:i w:val="0"/>
                <w:color w:val="48586C"/>
                <w:sz w:val="17"/>
              </w:rPr>
              <w:t>Features analysed</w:t>
            </w:r>
          </w:p>
        </w:tc>
        <w:tc>
          <w:tcPr>
            <w:tcW w:type="dxa" w:w="7004"/>
            <w:shd w:val="clear" w:color="auto" w:fill="F6F3ED"/>
            <w:vAlign w:val="center"/>
          </w:tcPr>
          <w:p>
            <w:pPr>
              <w:spacing w:before="0" w:after="0" w:line="240" w:lineRule="auto"/>
              <w:jc w:val="left"/>
            </w:pPr>
            <w:r>
              <w:rPr>
                <w:b w:val="0"/>
                <w:i w:val="0"/>
                <w:color w:val="12233A"/>
                <w:sz w:val="18"/>
              </w:rPr>
              <w:t>1 site · 1 route (2.03 km) · 1 point</w:t>
            </w:r>
          </w:p>
        </w:tc>
      </w:tr>
      <w:tr>
        <w:tc>
          <w:tcPr>
            <w:tcW w:type="dxa" w:w="2861"/>
            <w:vAlign w:val="center"/>
          </w:tcPr>
          <w:p>
            <w:pPr>
              <w:spacing w:before="0" w:after="0" w:line="240" w:lineRule="auto"/>
              <w:jc w:val="left"/>
            </w:pPr>
            <w:r>
              <w:rPr>
                <w:b/>
                <w:i w:val="0"/>
                <w:color w:val="48586C"/>
                <w:sz w:val="17"/>
              </w:rPr>
              <w:t>Elevation range</w:t>
            </w:r>
          </w:p>
        </w:tc>
        <w:tc>
          <w:tcPr>
            <w:tcW w:type="dxa" w:w="7004"/>
            <w:vAlign w:val="center"/>
          </w:tcPr>
          <w:p>
            <w:pPr>
              <w:spacing w:before="0" w:after="0" w:line="240" w:lineRule="auto"/>
              <w:jc w:val="left"/>
            </w:pPr>
            <w:r>
              <w:rPr>
                <w:b w:val="0"/>
                <w:i w:val="0"/>
                <w:color w:val="12233A"/>
                <w:sz w:val="18"/>
              </w:rPr>
              <w:t>1.2–5.4 m (EGM2008)</w:t>
            </w:r>
          </w:p>
        </w:tc>
      </w:tr>
      <w:tr>
        <w:tc>
          <w:tcPr>
            <w:tcW w:type="dxa" w:w="2861"/>
            <w:shd w:val="clear" w:color="auto" w:fill="F6F3ED"/>
            <w:vAlign w:val="center"/>
          </w:tcPr>
          <w:p>
            <w:pPr>
              <w:spacing w:before="0" w:after="0" w:line="240" w:lineRule="auto"/>
              <w:jc w:val="left"/>
            </w:pPr>
            <w:r>
              <w:rPr>
                <w:b/>
                <w:i w:val="0"/>
                <w:color w:val="48586C"/>
                <w:sz w:val="17"/>
              </w:rPr>
              <w:t>Overall KPKT split</w:t>
            </w:r>
          </w:p>
        </w:tc>
        <w:tc>
          <w:tcPr>
            <w:tcW w:type="dxa" w:w="7004"/>
            <w:shd w:val="clear" w:color="auto" w:fill="F6F3ED"/>
            <w:vAlign w:val="center"/>
          </w:tcPr>
          <w:p>
            <w:pPr>
              <w:spacing w:before="0" w:after="0" w:line="240" w:lineRule="auto"/>
              <w:jc w:val="left"/>
            </w:pPr>
            <w:r>
              <w:rPr>
                <w:b w:val="0"/>
                <w:i w:val="0"/>
                <w:color w:val="12233A"/>
                <w:sz w:val="18"/>
              </w:rPr>
              <w:t>Class I 100.0% · Class II 0.0% · Class III 0.0% · Class IV 0.0%</w:t>
            </w:r>
          </w:p>
        </w:tc>
      </w:tr>
      <w:tr>
        <w:tc>
          <w:tcPr>
            <w:tcW w:type="dxa" w:w="2861"/>
            <w:vAlign w:val="center"/>
          </w:tcPr>
          <w:p>
            <w:pPr>
              <w:spacing w:before="0" w:after="0" w:line="240" w:lineRule="auto"/>
              <w:jc w:val="left"/>
            </w:pPr>
            <w:r>
              <w:rPr>
                <w:b/>
                <w:i w:val="0"/>
                <w:color w:val="48586C"/>
                <w:sz w:val="17"/>
              </w:rPr>
              <w:t>Maximum slope</w:t>
            </w:r>
          </w:p>
        </w:tc>
        <w:tc>
          <w:tcPr>
            <w:tcW w:type="dxa" w:w="7004"/>
            <w:vAlign w:val="center"/>
          </w:tcPr>
          <w:p>
            <w:pPr>
              <w:spacing w:before="0" w:after="0" w:line="240" w:lineRule="auto"/>
              <w:jc w:val="left"/>
            </w:pPr>
            <w:r>
              <w:rPr>
                <w:b w:val="0"/>
                <w:i w:val="0"/>
                <w:color w:val="12233A"/>
                <w:sz w:val="18"/>
              </w:rPr>
              <w:t>3.9° (in “Lot A paddy”)</w:t>
            </w:r>
          </w:p>
        </w:tc>
      </w:tr>
      <w:tr>
        <w:tc>
          <w:tcPr>
            <w:tcW w:type="dxa" w:w="2861"/>
            <w:shd w:val="clear" w:color="auto" w:fill="F6F3ED"/>
            <w:vAlign w:val="center"/>
          </w:tcPr>
          <w:p>
            <w:pPr>
              <w:spacing w:before="0" w:after="0" w:line="240" w:lineRule="auto"/>
              <w:jc w:val="left"/>
            </w:pPr>
            <w:r>
              <w:rPr>
                <w:b/>
                <w:i w:val="0"/>
                <w:color w:val="48586C"/>
                <w:sz w:val="17"/>
              </w:rPr>
              <w:t>Findings</w:t>
            </w:r>
          </w:p>
        </w:tc>
        <w:tc>
          <w:tcPr>
            <w:tcW w:type="dxa" w:w="7004"/>
            <w:shd w:val="clear" w:color="auto" w:fill="F6F3ED"/>
            <w:vAlign w:val="center"/>
          </w:tcPr>
          <w:p>
            <w:pPr>
              <w:spacing w:before="0" w:after="0" w:line="240" w:lineRule="auto"/>
              <w:jc w:val="left"/>
            </w:pPr>
            <w:r>
              <w:rPr>
                <w:b w:val="0"/>
                <w:i w:val="0"/>
                <w:color w:val="12233A"/>
                <w:sz w:val="18"/>
              </w:rPr>
              <w:t>0 warnings · 0 cautions · 3 for information</w:t>
            </w:r>
          </w:p>
        </w:tc>
      </w:tr>
      <w:tr>
        <w:tc>
          <w:tcPr>
            <w:tcW w:type="dxa" w:w="2861"/>
            <w:vAlign w:val="center"/>
          </w:tcPr>
          <w:p>
            <w:pPr>
              <w:spacing w:before="0" w:after="0" w:line="240" w:lineRule="auto"/>
              <w:jc w:val="left"/>
            </w:pPr>
            <w:r>
              <w:rPr>
                <w:b/>
                <w:i w:val="0"/>
                <w:color w:val="48586C"/>
                <w:sz w:val="17"/>
              </w:rPr>
              <w:t>Elevation model (DEM)</w:t>
            </w:r>
          </w:p>
        </w:tc>
        <w:tc>
          <w:tcPr>
            <w:tcW w:type="dxa" w:w="7004"/>
            <w:vAlign w:val="center"/>
          </w:tcPr>
          <w:p>
            <w:pPr>
              <w:spacing w:before="0" w:after="0" w:line="240" w:lineRule="auto"/>
              <w:jc w:val="left"/>
            </w:pPr>
            <w:r>
              <w:rPr>
                <w:b w:val="0"/>
                <w:i w:val="0"/>
                <w:color w:val="12233A"/>
                <w:sz w:val="18"/>
              </w:rPr>
              <w:t>Copernicus DEM GLO-30 · DSM (surface model: includes tree canopy and buildings) · 30 m nominal, analysed at 30.7 m</w:t>
            </w:r>
          </w:p>
        </w:tc>
      </w:tr>
    </w:tbl>
    <w:p>
      <w:pPr>
        <w:spacing w:before="0" w:after="0" w:line="80" w:lineRule="exact"/>
      </w:pPr>
      <w:r>
        <w:rPr>
          <w:sz w:val="8"/>
        </w:rPr>
      </w:r>
    </w:p>
    <w:p>
      <w:pPr>
        <w:pStyle w:val="Heading1"/>
      </w:pPr>
      <w:r>
        <w:t>Findings</w:t>
      </w:r>
    </w:p>
    <w:p>
      <w:r>
        <w:rPr>
          <w:i/>
          <w:color w:val="48586C"/>
          <w:sz w:val="17"/>
        </w:rPr>
        <w:t>Each finding below is computed by fixed rules from the elevation data and is listed most severe first: warnings, then cautions, then information.</w:t>
      </w:r>
    </w:p>
    <w:tbl>
      <w:tblPr>
        <w:tblW w:type="dxa" w:w="9865"/>
        <w:jc w:val="left"/>
        <w:tblBorders>
          <w:top w:val="nil"/>
          <w:left w:val="nil"/>
          <w:bottom w:val="nil"/>
          <w:right w:val="nil"/>
          <w:insideH w:val="nil"/>
          <w:insideV w:val="nil"/>
        </w:tblBorders>
        <w:tblLayout w:type="fixed"/>
        <w:tblLook w:firstColumn="1" w:firstRow="1" w:lastColumn="0" w:lastRow="0" w:noHBand="0" w:noVBand="1" w:val="04A0"/>
      </w:tblPr>
      <w:tblGrid>
        <w:gridCol w:w="9865"/>
      </w:tblGrid>
      <w:tr>
        <w:tc>
          <w:tcPr>
            <w:tcW w:type="dxa" w:w="9865"/>
            <w:tcBorders>
              <w:left w:val="single" w:sz="36" w:space="0" w:color="0F2742"/>
            </w:tcBorders>
            <w:shd w:val="clear" w:color="auto" w:fill="EDF1F6"/>
            <w:tcMar>
              <w:top w:w="110" w:type="dxa"/>
              <w:left w:w="200" w:type="dxa"/>
              <w:bottom w:w="130" w:type="dxa"/>
              <w:right w:w="200" w:type="dxa"/>
            </w:tcMar>
          </w:tcPr>
          <w:p>
            <w:pPr>
              <w:spacing w:before="0" w:after="20" w:line="240" w:lineRule="auto"/>
            </w:pPr>
            <w:r>
              <w:rPr>
                <w:b/>
                <w:color w:val="0F2742"/>
                <w:spacing w:val="12"/>
                <w:sz w:val="14"/>
              </w:rPr>
              <w:t>INFORMATION</w:t>
            </w:r>
          </w:p>
          <w:p>
            <w:pPr>
              <w:spacing w:before="0" w:after="40" w:line="240" w:lineRule="auto"/>
            </w:pPr>
            <w:r>
              <w:rPr>
                <w:b/>
                <w:color w:val="12233A"/>
                <w:sz w:val="20"/>
              </w:rPr>
              <w:t>Site area screens as KPKT Class I (below 15°)</w:t>
            </w:r>
          </w:p>
          <w:p>
            <w:pPr>
              <w:spacing w:before="0" w:after="0" w:line="276" w:lineRule="auto"/>
            </w:pPr>
            <w:r>
              <w:rPr>
                <w:color w:val="12233A"/>
                <w:sz w:val="18"/>
              </w:rPr>
              <w:t>No site has more than 0.5% of its area at 15° or steeper on this DEM, so the land screens as Class I, which the KPKT hill-land guidelines generally treat as developable. A 30 m elevation model smooths out short steep features such as bund faces, drain banks and cuttings, so a survey can still find locally steeper ground.</w:t>
            </w:r>
          </w:p>
          <w:p>
            <w:pPr>
              <w:spacing w:before="60" w:after="0" w:line="240" w:lineRule="auto"/>
            </w:pPr>
            <w:r>
              <w:rPr>
                <w:i/>
                <w:color w:val="48586C"/>
                <w:sz w:val="15"/>
              </w:rPr>
              <w:t>Source: KPKT hill-land development guidelines (Garis Panduan Perancangan Pembangunan di Kawasan Bukit dan Tanah Tinggi)</w:t>
            </w:r>
          </w:p>
        </w:tc>
      </w:tr>
    </w:tbl>
    <w:p>
      <w:pPr>
        <w:spacing w:before="0" w:after="0" w:line="100" w:lineRule="exact"/>
      </w:pPr>
      <w:r>
        <w:rPr>
          <w:sz w:val="10"/>
        </w:rPr>
      </w:r>
    </w:p>
    <w:tbl>
      <w:tblPr>
        <w:tblW w:type="dxa" w:w="9865"/>
        <w:jc w:val="left"/>
        <w:tblBorders>
          <w:top w:val="nil"/>
          <w:left w:val="nil"/>
          <w:bottom w:val="nil"/>
          <w:right w:val="nil"/>
          <w:insideH w:val="nil"/>
          <w:insideV w:val="nil"/>
        </w:tblBorders>
        <w:tblLayout w:type="fixed"/>
        <w:tblLook w:firstColumn="1" w:firstRow="1" w:lastColumn="0" w:lastRow="0" w:noHBand="0" w:noVBand="1" w:val="04A0"/>
      </w:tblPr>
      <w:tblGrid>
        <w:gridCol w:w="9865"/>
      </w:tblGrid>
      <w:tr>
        <w:tc>
          <w:tcPr>
            <w:tcW w:type="dxa" w:w="9865"/>
            <w:tcBorders>
              <w:left w:val="single" w:sz="36" w:space="0" w:color="0F2742"/>
            </w:tcBorders>
            <w:shd w:val="clear" w:color="auto" w:fill="EDF1F6"/>
            <w:tcMar>
              <w:top w:w="110" w:type="dxa"/>
              <w:left w:w="200" w:type="dxa"/>
              <w:bottom w:w="130" w:type="dxa"/>
              <w:right w:w="200" w:type="dxa"/>
            </w:tcMar>
          </w:tcPr>
          <w:p>
            <w:pPr>
              <w:spacing w:before="0" w:after="20" w:line="240" w:lineRule="auto"/>
            </w:pPr>
            <w:r>
              <w:rPr>
                <w:b/>
                <w:color w:val="0F2742"/>
                <w:spacing w:val="12"/>
                <w:sz w:val="14"/>
              </w:rPr>
              <w:t>INFORMATION</w:t>
            </w:r>
          </w:p>
          <w:p>
            <w:pPr>
              <w:spacing w:before="0" w:after="40" w:line="240" w:lineRule="auto"/>
            </w:pPr>
            <w:r>
              <w:rPr>
                <w:b/>
                <w:color w:val="12233A"/>
                <w:sz w:val="20"/>
              </w:rPr>
              <w:t>Route gradients</w:t>
            </w:r>
          </w:p>
          <w:p>
            <w:pPr>
              <w:spacing w:before="0" w:after="0" w:line="276" w:lineRule="auto"/>
            </w:pPr>
            <w:r>
              <w:rPr>
                <w:color w:val="12233A"/>
                <w:sz w:val="18"/>
              </w:rPr>
              <w:t>Steepest gradient along each route, measured over at least 90 m — “33 kV cable route”: max grade 2.1% over 2.03 km (total climb 5 m). Short pitches at drains, embankments and road crossings can be steeper than a 30 m DEM shows.</w:t>
            </w:r>
          </w:p>
        </w:tc>
      </w:tr>
    </w:tbl>
    <w:p>
      <w:pPr>
        <w:spacing w:before="0" w:after="0" w:line="100" w:lineRule="exact"/>
      </w:pPr>
      <w:r>
        <w:rPr>
          <w:sz w:val="10"/>
        </w:rPr>
      </w:r>
    </w:p>
    <w:tbl>
      <w:tblPr>
        <w:tblW w:type="dxa" w:w="9865"/>
        <w:jc w:val="left"/>
        <w:tblBorders>
          <w:top w:val="nil"/>
          <w:left w:val="nil"/>
          <w:bottom w:val="nil"/>
          <w:right w:val="nil"/>
          <w:insideH w:val="nil"/>
          <w:insideV w:val="nil"/>
        </w:tblBorders>
        <w:tblLayout w:type="fixed"/>
        <w:tblLook w:firstColumn="1" w:firstRow="1" w:lastColumn="0" w:lastRow="0" w:noHBand="0" w:noVBand="1" w:val="04A0"/>
      </w:tblPr>
      <w:tblGrid>
        <w:gridCol w:w="9865"/>
      </w:tblGrid>
      <w:tr>
        <w:tc>
          <w:tcPr>
            <w:tcW w:type="dxa" w:w="9865"/>
            <w:tcBorders>
              <w:left w:val="single" w:sz="36" w:space="0" w:color="0F2742"/>
            </w:tcBorders>
            <w:shd w:val="clear" w:color="auto" w:fill="EDF1F6"/>
            <w:tcMar>
              <w:top w:w="110" w:type="dxa"/>
              <w:left w:w="200" w:type="dxa"/>
              <w:bottom w:w="130" w:type="dxa"/>
              <w:right w:w="200" w:type="dxa"/>
            </w:tcMar>
          </w:tcPr>
          <w:p>
            <w:pPr>
              <w:spacing w:before="0" w:after="20" w:line="240" w:lineRule="auto"/>
            </w:pPr>
            <w:r>
              <w:rPr>
                <w:b/>
                <w:color w:val="0F2742"/>
                <w:spacing w:val="12"/>
                <w:sz w:val="14"/>
              </w:rPr>
              <w:t>INFORMATION</w:t>
            </w:r>
          </w:p>
          <w:p>
            <w:pPr>
              <w:spacing w:before="0" w:after="40" w:line="240" w:lineRule="auto"/>
            </w:pPr>
            <w:r>
              <w:rPr>
                <w:b/>
                <w:color w:val="12233A"/>
                <w:sz w:val="20"/>
              </w:rPr>
              <w:t>Check EIA requirements for the total area</w:t>
            </w:r>
          </w:p>
          <w:p>
            <w:pPr>
              <w:spacing w:before="0" w:after="0" w:line="276" w:lineRule="auto"/>
            </w:pPr>
            <w:r>
              <w:rPr>
                <w:color w:val="12233A"/>
                <w:sz w:val="18"/>
              </w:rPr>
              <w:t>Total polygon area is 42.16 ha. Whether an Environmental Impact Assessment is required depends on the activity and area categories in the schedules of the Environmental Quality (Prescribed Activities) (Environmental Impact Assessment) Order 2015, and on factors such as hill land, forest clearing or conversion of agricultural land. Have a qualified EIA consultant check the site against the current schedules.</w:t>
            </w:r>
          </w:p>
          <w:p>
            <w:pPr>
              <w:spacing w:before="60" w:after="0" w:line="240" w:lineRule="auto"/>
            </w:pPr>
            <w:r>
              <w:rPr>
                <w:i/>
                <w:color w:val="48586C"/>
                <w:sz w:val="15"/>
              </w:rPr>
              <w:t>Source: Environmental Quality (Prescribed Activities) (Environmental Impact Assessment) Order 2015, under the Environmental Quality Act 1974</w:t>
            </w:r>
          </w:p>
        </w:tc>
      </w:tr>
    </w:tbl>
    <w:p>
      <w:pPr>
        <w:spacing w:before="0" w:after="0" w:line="100" w:lineRule="exact"/>
      </w:pPr>
      <w:r>
        <w:rPr>
          <w:sz w:val="10"/>
        </w:rPr>
      </w:r>
    </w:p>
    <w:p>
      <w:pPr>
        <w:pStyle w:val="Heading1"/>
      </w:pPr>
      <w:r>
        <w:t>Site statistics</w:t>
      </w:r>
    </w:p>
    <w:p>
      <w:pPr>
        <w:pStyle w:val="Heading2"/>
      </w:pPr>
      <w:r>
        <w:t>Sites</w:t>
      </w:r>
    </w:p>
    <w:tbl>
      <w:tblPr>
        <w:tblW w:type="dxa" w:w="9867"/>
        <w:jc w:val="left"/>
        <w:tblBorders>
          <w:top w:val="nil"/>
          <w:left w:val="nil"/>
          <w:bottom w:val="single" w:sz="8" w:space="0" w:color="0F2742"/>
          <w:right w:val="nil"/>
          <w:insideH w:val="single" w:sz="4" w:space="0" w:color="D6DCE3"/>
          <w:insideV w:val="nil"/>
        </w:tblBorders>
        <w:tblLayout w:type="fixed"/>
        <w:tblCellMar>
          <w:top w:w="70" w:type="dxa"/>
          <w:left w:w="90" w:type="dxa"/>
          <w:bottom w:w="70" w:type="dxa"/>
          <w:right w:w="90" w:type="dxa"/>
        </w:tblCellMar>
        <w:tblLook w:firstColumn="1" w:firstRow="1" w:lastColumn="0" w:lastRow="0" w:noHBand="0" w:noVBand="1" w:val="04A0"/>
      </w:tblPr>
      <w:tblGrid>
        <w:gridCol w:w="2329"/>
        <w:gridCol w:w="891"/>
        <w:gridCol w:w="1302"/>
        <w:gridCol w:w="788"/>
        <w:gridCol w:w="651"/>
        <w:gridCol w:w="651"/>
        <w:gridCol w:w="651"/>
        <w:gridCol w:w="651"/>
        <w:gridCol w:w="651"/>
        <w:gridCol w:w="651"/>
        <w:gridCol w:w="651"/>
      </w:tblGrid>
      <w:tr>
        <w:trPr>
          <w:tblHeader/>
          <w:cantSplit/>
        </w:trPr>
        <w:tc>
          <w:tcPr>
            <w:tcW w:type="dxa" w:w="2329"/>
            <w:vMerge w:val="restart"/>
            <w:shd w:val="clear" w:color="auto" w:fill="0F2742"/>
            <w:vAlign w:val="center"/>
          </w:tcPr>
          <w:p>
            <w:pPr>
              <w:keepNext/>
              <w:spacing w:before="0" w:after="0" w:line="240" w:lineRule="auto"/>
              <w:jc w:val="left"/>
            </w:pPr>
            <w:r>
              <w:rPr>
                <w:b/>
                <w:i w:val="0"/>
                <w:color w:val="FFFFFF"/>
                <w:sz w:val="15"/>
              </w:rPr>
              <w:t>Site</w:t>
            </w:r>
          </w:p>
        </w:tc>
        <w:tc>
          <w:tcPr>
            <w:tcW w:type="dxa" w:w="891"/>
            <w:vMerge w:val="restart"/>
            <w:shd w:val="clear" w:color="auto" w:fill="0F2742"/>
            <w:vAlign w:val="center"/>
          </w:tcPr>
          <w:p>
            <w:pPr>
              <w:keepNext/>
              <w:spacing w:before="0" w:after="0" w:line="240" w:lineRule="auto"/>
              <w:jc w:val="right"/>
            </w:pPr>
            <w:r>
              <w:rPr>
                <w:b/>
                <w:i w:val="0"/>
                <w:color w:val="FFFFFF"/>
                <w:sz w:val="15"/>
              </w:rPr>
              <w:t>Area (ha)</w:t>
            </w:r>
          </w:p>
        </w:tc>
        <w:tc>
          <w:tcPr>
            <w:tcW w:type="dxa" w:w="1302"/>
            <w:vMerge w:val="restart"/>
            <w:shd w:val="clear" w:color="auto" w:fill="0F2742"/>
            <w:vAlign w:val="center"/>
          </w:tcPr>
          <w:p>
            <w:pPr>
              <w:keepNext/>
              <w:spacing w:before="0" w:after="0" w:line="240" w:lineRule="auto"/>
              <w:jc w:val="right"/>
            </w:pPr>
            <w:r>
              <w:rPr>
                <w:b/>
                <w:i w:val="0"/>
                <w:color w:val="FFFFFF"/>
                <w:sz w:val="15"/>
              </w:rPr>
              <w:t>Elevation min–max (m)</w:t>
            </w:r>
          </w:p>
        </w:tc>
        <w:tc>
          <w:tcPr>
            <w:tcW w:type="dxa" w:w="788"/>
            <w:vMerge w:val="restart"/>
            <w:shd w:val="clear" w:color="auto" w:fill="0F2742"/>
            <w:vAlign w:val="center"/>
          </w:tcPr>
          <w:p>
            <w:pPr>
              <w:keepNext/>
              <w:spacing w:before="0" w:after="0" w:line="240" w:lineRule="auto"/>
              <w:jc w:val="right"/>
            </w:pPr>
            <w:r>
              <w:rPr>
                <w:b/>
                <w:i w:val="0"/>
                <w:color w:val="FFFFFF"/>
                <w:sz w:val="15"/>
              </w:rPr>
              <w:t>Relief (m)</w:t>
            </w:r>
          </w:p>
        </w:tc>
        <w:tc>
          <w:tcPr>
            <w:tcW w:type="dxa" w:w="1953"/>
            <w:gridSpan w:val="3"/>
            <w:tcBorders>
              <w:bottom w:val="single" w:sz="6" w:space="0" w:color="D4A23A"/>
            </w:tcBorders>
            <w:shd w:val="clear" w:color="auto" w:fill="0F2742"/>
            <w:vAlign w:val="center"/>
          </w:tcPr>
          <w:p>
            <w:pPr>
              <w:keepNext/>
              <w:spacing w:before="0" w:after="0" w:line="240" w:lineRule="auto"/>
              <w:jc w:val="center"/>
            </w:pPr>
            <w:r>
              <w:rPr>
                <w:b/>
                <w:i w:val="0"/>
                <w:color w:val="FFFFFF"/>
                <w:sz w:val="15"/>
              </w:rPr>
              <w:t>Slope (°)</w:t>
            </w:r>
          </w:p>
        </w:tc>
        <w:tc>
          <w:tcPr>
            <w:tcW w:type="dxa" w:w="2604"/>
            <w:gridSpan w:val="4"/>
            <w:tcBorders>
              <w:bottom w:val="single" w:sz="6" w:space="0" w:color="D4A23A"/>
            </w:tcBorders>
            <w:shd w:val="clear" w:color="auto" w:fill="0F2742"/>
            <w:vAlign w:val="center"/>
          </w:tcPr>
          <w:p>
            <w:pPr>
              <w:keepNext/>
              <w:spacing w:before="0" w:after="0" w:line="240" w:lineRule="auto"/>
              <w:jc w:val="center"/>
            </w:pPr>
            <w:r>
              <w:rPr>
                <w:b/>
                <w:i w:val="0"/>
                <w:color w:val="FFFFFF"/>
                <w:sz w:val="15"/>
              </w:rPr>
              <w:t>KPKT class (% of site area)</w:t>
            </w:r>
          </w:p>
        </w:tc>
      </w:tr>
      <w:tr>
        <w:trPr>
          <w:tblHeader/>
          <w:cantSplit/>
        </w:trPr>
        <w:tc>
          <w:tcPr>
            <w:tcW w:type="dxa" w:w="2329"/>
            <w:vMerge/>
            <w:shd w:val="clear" w:color="auto" w:fill="0F2742"/>
          </w:tcPr>
          <w:p>
            <w:pPr>
              <w:keepNext/>
            </w:pPr>
          </w:p>
        </w:tc>
        <w:tc>
          <w:tcPr>
            <w:tcW w:type="dxa" w:w="891"/>
            <w:vMerge/>
            <w:shd w:val="clear" w:color="auto" w:fill="0F2742"/>
          </w:tcPr>
          <w:p>
            <w:pPr>
              <w:keepNext/>
            </w:pPr>
          </w:p>
        </w:tc>
        <w:tc>
          <w:tcPr>
            <w:tcW w:type="dxa" w:w="1302"/>
            <w:vMerge/>
            <w:shd w:val="clear" w:color="auto" w:fill="0F2742"/>
          </w:tcPr>
          <w:p>
            <w:pPr>
              <w:keepNext/>
            </w:pPr>
          </w:p>
        </w:tc>
        <w:tc>
          <w:tcPr>
            <w:tcW w:type="dxa" w:w="788"/>
            <w:vMerge/>
            <w:shd w:val="clear" w:color="auto" w:fill="0F2742"/>
          </w:tcPr>
          <w:p>
            <w:pPr>
              <w:keepNext/>
            </w:pPr>
          </w:p>
        </w:tc>
        <w:tc>
          <w:tcPr>
            <w:tcW w:type="dxa" w:w="651"/>
            <w:shd w:val="clear" w:color="auto" w:fill="0F2742"/>
            <w:vAlign w:val="center"/>
          </w:tcPr>
          <w:p>
            <w:pPr>
              <w:keepNext/>
              <w:spacing w:before="0" w:after="0" w:line="240" w:lineRule="auto"/>
              <w:jc w:val="right"/>
            </w:pPr>
            <w:r>
              <w:rPr>
                <w:b/>
                <w:i w:val="0"/>
                <w:color w:val="FFFFFF"/>
                <w:sz w:val="15"/>
              </w:rPr>
              <w:t>Mean</w:t>
            </w:r>
          </w:p>
        </w:tc>
        <w:tc>
          <w:tcPr>
            <w:tcW w:type="dxa" w:w="651"/>
            <w:shd w:val="clear" w:color="auto" w:fill="0F2742"/>
            <w:vAlign w:val="center"/>
          </w:tcPr>
          <w:p>
            <w:pPr>
              <w:keepNext/>
              <w:spacing w:before="0" w:after="0" w:line="240" w:lineRule="auto"/>
              <w:jc w:val="right"/>
            </w:pPr>
            <w:r>
              <w:rPr>
                <w:b/>
                <w:i w:val="0"/>
                <w:color w:val="FFFFFF"/>
                <w:sz w:val="15"/>
              </w:rPr>
              <w:t>P90</w:t>
            </w:r>
          </w:p>
        </w:tc>
        <w:tc>
          <w:tcPr>
            <w:tcW w:type="dxa" w:w="651"/>
            <w:shd w:val="clear" w:color="auto" w:fill="0F2742"/>
            <w:vAlign w:val="center"/>
          </w:tcPr>
          <w:p>
            <w:pPr>
              <w:keepNext/>
              <w:spacing w:before="0" w:after="0" w:line="240" w:lineRule="auto"/>
              <w:jc w:val="right"/>
            </w:pPr>
            <w:r>
              <w:rPr>
                <w:b/>
                <w:i w:val="0"/>
                <w:color w:val="FFFFFF"/>
                <w:sz w:val="15"/>
              </w:rPr>
              <w:t>Max</w:t>
            </w:r>
          </w:p>
        </w:tc>
        <w:tc>
          <w:tcPr>
            <w:tcW w:type="dxa" w:w="651"/>
            <w:shd w:val="clear" w:color="auto" w:fill="0F2742"/>
            <w:vAlign w:val="center"/>
          </w:tcPr>
          <w:p>
            <w:pPr>
              <w:keepNext/>
              <w:spacing w:before="0" w:after="0" w:line="240" w:lineRule="auto"/>
              <w:jc w:val="right"/>
            </w:pPr>
            <w:r>
              <w:rPr>
                <w:b/>
                <w:i w:val="0"/>
                <w:color w:val="FFFFFF"/>
                <w:sz w:val="15"/>
              </w:rPr>
              <w:t>I</w:t>
            </w:r>
          </w:p>
        </w:tc>
        <w:tc>
          <w:tcPr>
            <w:tcW w:type="dxa" w:w="651"/>
            <w:shd w:val="clear" w:color="auto" w:fill="0F2742"/>
            <w:vAlign w:val="center"/>
          </w:tcPr>
          <w:p>
            <w:pPr>
              <w:keepNext/>
              <w:spacing w:before="0" w:after="0" w:line="240" w:lineRule="auto"/>
              <w:jc w:val="right"/>
            </w:pPr>
            <w:r>
              <w:rPr>
                <w:b/>
                <w:i w:val="0"/>
                <w:color w:val="FFFFFF"/>
                <w:sz w:val="15"/>
              </w:rPr>
              <w:t>II</w:t>
            </w:r>
          </w:p>
        </w:tc>
        <w:tc>
          <w:tcPr>
            <w:tcW w:type="dxa" w:w="651"/>
            <w:shd w:val="clear" w:color="auto" w:fill="0F2742"/>
            <w:vAlign w:val="center"/>
          </w:tcPr>
          <w:p>
            <w:pPr>
              <w:keepNext/>
              <w:spacing w:before="0" w:after="0" w:line="240" w:lineRule="auto"/>
              <w:jc w:val="right"/>
            </w:pPr>
            <w:r>
              <w:rPr>
                <w:b/>
                <w:i w:val="0"/>
                <w:color w:val="FFFFFF"/>
                <w:sz w:val="15"/>
              </w:rPr>
              <w:t>III</w:t>
            </w:r>
          </w:p>
        </w:tc>
        <w:tc>
          <w:tcPr>
            <w:tcW w:type="dxa" w:w="651"/>
            <w:shd w:val="clear" w:color="auto" w:fill="0F2742"/>
            <w:vAlign w:val="center"/>
          </w:tcPr>
          <w:p>
            <w:pPr>
              <w:keepNext/>
              <w:spacing w:before="0" w:after="0" w:line="240" w:lineRule="auto"/>
              <w:jc w:val="right"/>
            </w:pPr>
            <w:r>
              <w:rPr>
                <w:b/>
                <w:i w:val="0"/>
                <w:color w:val="FFFFFF"/>
                <w:sz w:val="15"/>
              </w:rPr>
              <w:t>IV</w:t>
            </w:r>
          </w:p>
        </w:tc>
      </w:tr>
      <w:tr>
        <w:trPr>
          <w:cantSplit/>
        </w:trPr>
        <w:tc>
          <w:tcPr>
            <w:tcW w:type="dxa" w:w="2329"/>
            <w:vAlign w:val="center"/>
          </w:tcPr>
          <w:p>
            <w:pPr>
              <w:spacing w:before="0" w:after="0" w:line="240" w:lineRule="auto"/>
              <w:jc w:val="left"/>
            </w:pPr>
            <w:r>
              <w:rPr>
                <w:b w:val="0"/>
                <w:i w:val="0"/>
                <w:color w:val="12233A"/>
                <w:sz w:val="16"/>
              </w:rPr>
              <w:t>Lot A paddy</w:t>
            </w:r>
          </w:p>
        </w:tc>
        <w:tc>
          <w:tcPr>
            <w:tcW w:type="dxa" w:w="891"/>
            <w:vAlign w:val="center"/>
          </w:tcPr>
          <w:p>
            <w:pPr>
              <w:spacing w:before="0" w:after="0" w:line="240" w:lineRule="auto"/>
              <w:jc w:val="right"/>
            </w:pPr>
            <w:r>
              <w:rPr>
                <w:b w:val="0"/>
                <w:i w:val="0"/>
                <w:color w:val="12233A"/>
                <w:sz w:val="16"/>
              </w:rPr>
              <w:t>42.16</w:t>
            </w:r>
          </w:p>
        </w:tc>
        <w:tc>
          <w:tcPr>
            <w:tcW w:type="dxa" w:w="1302"/>
            <w:vAlign w:val="center"/>
          </w:tcPr>
          <w:p>
            <w:pPr>
              <w:spacing w:before="0" w:after="0" w:line="240" w:lineRule="auto"/>
              <w:jc w:val="right"/>
            </w:pPr>
            <w:r>
              <w:rPr>
                <w:b w:val="0"/>
                <w:i w:val="0"/>
                <w:color w:val="12233A"/>
                <w:sz w:val="16"/>
              </w:rPr>
              <w:t>1.2–5.4</w:t>
            </w:r>
          </w:p>
        </w:tc>
        <w:tc>
          <w:tcPr>
            <w:tcW w:type="dxa" w:w="788"/>
            <w:vAlign w:val="center"/>
          </w:tcPr>
          <w:p>
            <w:pPr>
              <w:spacing w:before="0" w:after="0" w:line="240" w:lineRule="auto"/>
              <w:jc w:val="right"/>
            </w:pPr>
            <w:r>
              <w:rPr>
                <w:b w:val="0"/>
                <w:i w:val="0"/>
                <w:color w:val="12233A"/>
                <w:sz w:val="16"/>
              </w:rPr>
              <w:t>4.2</w:t>
            </w:r>
          </w:p>
        </w:tc>
        <w:tc>
          <w:tcPr>
            <w:tcW w:type="dxa" w:w="651"/>
            <w:vAlign w:val="center"/>
          </w:tcPr>
          <w:p>
            <w:pPr>
              <w:spacing w:before="0" w:after="0" w:line="240" w:lineRule="auto"/>
              <w:jc w:val="right"/>
            </w:pPr>
            <w:r>
              <w:rPr>
                <w:b w:val="0"/>
                <w:i w:val="0"/>
                <w:color w:val="12233A"/>
                <w:sz w:val="16"/>
              </w:rPr>
              <w:t>0.7</w:t>
            </w:r>
          </w:p>
        </w:tc>
        <w:tc>
          <w:tcPr>
            <w:tcW w:type="dxa" w:w="651"/>
            <w:vAlign w:val="center"/>
          </w:tcPr>
          <w:p>
            <w:pPr>
              <w:spacing w:before="0" w:after="0" w:line="240" w:lineRule="auto"/>
              <w:jc w:val="right"/>
            </w:pPr>
            <w:r>
              <w:rPr>
                <w:b w:val="0"/>
                <w:i w:val="0"/>
                <w:color w:val="12233A"/>
                <w:sz w:val="16"/>
              </w:rPr>
              <w:t>1.6</w:t>
            </w:r>
          </w:p>
        </w:tc>
        <w:tc>
          <w:tcPr>
            <w:tcW w:type="dxa" w:w="651"/>
            <w:vAlign w:val="center"/>
          </w:tcPr>
          <w:p>
            <w:pPr>
              <w:spacing w:before="0" w:after="0" w:line="240" w:lineRule="auto"/>
              <w:jc w:val="right"/>
            </w:pPr>
            <w:r>
              <w:rPr>
                <w:b w:val="0"/>
                <w:i w:val="0"/>
                <w:color w:val="12233A"/>
                <w:sz w:val="16"/>
              </w:rPr>
              <w:t>3.9</w:t>
            </w:r>
          </w:p>
        </w:tc>
        <w:tc>
          <w:tcPr>
            <w:tcW w:type="dxa" w:w="651"/>
            <w:vAlign w:val="center"/>
          </w:tcPr>
          <w:p>
            <w:pPr>
              <w:spacing w:before="0" w:after="0" w:line="240" w:lineRule="auto"/>
              <w:jc w:val="right"/>
            </w:pPr>
            <w:r>
              <w:rPr>
                <w:b w:val="0"/>
                <w:i w:val="0"/>
                <w:color w:val="12233A"/>
                <w:sz w:val="16"/>
              </w:rPr>
              <w:t>100.0</w:t>
            </w:r>
          </w:p>
        </w:tc>
        <w:tc>
          <w:tcPr>
            <w:tcW w:type="dxa" w:w="651"/>
            <w:vAlign w:val="center"/>
          </w:tcPr>
          <w:p>
            <w:pPr>
              <w:spacing w:before="0" w:after="0" w:line="240" w:lineRule="auto"/>
              <w:jc w:val="right"/>
            </w:pPr>
            <w:r>
              <w:rPr>
                <w:b w:val="0"/>
                <w:i w:val="0"/>
                <w:color w:val="12233A"/>
                <w:sz w:val="16"/>
              </w:rPr>
              <w:t>0.0</w:t>
            </w:r>
          </w:p>
        </w:tc>
        <w:tc>
          <w:tcPr>
            <w:tcW w:type="dxa" w:w="651"/>
            <w:vAlign w:val="center"/>
          </w:tcPr>
          <w:p>
            <w:pPr>
              <w:spacing w:before="0" w:after="0" w:line="240" w:lineRule="auto"/>
              <w:jc w:val="right"/>
            </w:pPr>
            <w:r>
              <w:rPr>
                <w:b w:val="0"/>
                <w:i w:val="0"/>
                <w:color w:val="12233A"/>
                <w:sz w:val="16"/>
              </w:rPr>
              <w:t>0.0</w:t>
            </w:r>
          </w:p>
        </w:tc>
        <w:tc>
          <w:tcPr>
            <w:tcW w:type="dxa" w:w="651"/>
            <w:vAlign w:val="center"/>
          </w:tcPr>
          <w:p>
            <w:pPr>
              <w:spacing w:before="0" w:after="0" w:line="240" w:lineRule="auto"/>
              <w:jc w:val="right"/>
            </w:pPr>
            <w:r>
              <w:rPr>
                <w:b w:val="0"/>
                <w:i w:val="0"/>
                <w:color w:val="12233A"/>
                <w:sz w:val="16"/>
              </w:rPr>
              <w:t>0.0</w:t>
            </w:r>
          </w:p>
        </w:tc>
      </w:tr>
    </w:tbl>
    <w:p>
      <w:pPr>
        <w:spacing w:before="80" w:after="120" w:line="264" w:lineRule="auto"/>
      </w:pPr>
      <w:r>
        <w:rPr>
          <w:i/>
          <w:color w:val="48586C"/>
          <w:sz w:val="15"/>
        </w:rPr>
        <w:t>Elevations are DEM surface heights in metres above EGM2008. P90 is the 90th-percentile slope: nine-tenths of the site area is at or below it. KPKT classes: I below 15°, II 15–25°, III 25–35°, IV 35° and steeper.</w:t>
      </w:r>
    </w:p>
    <w:p>
      <w:pPr>
        <w:pStyle w:val="Heading2"/>
      </w:pPr>
      <w:r>
        <w:t>Slope distribution</w:t>
      </w:r>
    </w:p>
    <w:tbl>
      <w:tblPr>
        <w:tblW w:type="dxa" w:w="9868"/>
        <w:jc w:val="left"/>
        <w:tblBorders>
          <w:top w:val="nil"/>
          <w:left w:val="nil"/>
          <w:bottom w:val="single" w:sz="8" w:space="0" w:color="0F2742"/>
          <w:right w:val="nil"/>
          <w:insideH w:val="single" w:sz="4" w:space="0" w:color="D6DCE3"/>
          <w:insideV w:val="nil"/>
        </w:tblBorders>
        <w:tblLayout w:type="fixed"/>
        <w:tblCellMar>
          <w:top w:w="70" w:type="dxa"/>
          <w:left w:w="90" w:type="dxa"/>
          <w:bottom w:w="70" w:type="dxa"/>
          <w:right w:w="90" w:type="dxa"/>
        </w:tblCellMar>
        <w:tblLook w:firstColumn="1" w:firstRow="1" w:lastColumn="0" w:lastRow="0" w:noHBand="0" w:noVBand="1" w:val="04A0"/>
      </w:tblPr>
      <w:tblGrid>
        <w:gridCol w:w="3225"/>
        <w:gridCol w:w="949"/>
        <w:gridCol w:w="949"/>
        <w:gridCol w:w="949"/>
        <w:gridCol w:w="949"/>
        <w:gridCol w:w="949"/>
        <w:gridCol w:w="949"/>
        <w:gridCol w:w="949"/>
      </w:tblGrid>
      <w:tr>
        <w:trPr>
          <w:tblHeader/>
          <w:cantSplit/>
        </w:trPr>
        <w:tc>
          <w:tcPr>
            <w:tcW w:type="dxa" w:w="3225"/>
            <w:vMerge w:val="restart"/>
            <w:shd w:val="clear" w:color="auto" w:fill="0F2742"/>
            <w:vAlign w:val="center"/>
          </w:tcPr>
          <w:p>
            <w:pPr>
              <w:keepNext/>
              <w:spacing w:before="0" w:after="0" w:line="240" w:lineRule="auto"/>
              <w:jc w:val="left"/>
            </w:pPr>
            <w:r>
              <w:rPr>
                <w:b/>
                <w:i w:val="0"/>
                <w:color w:val="FFFFFF"/>
                <w:sz w:val="15"/>
              </w:rPr>
              <w:t>Site</w:t>
            </w:r>
          </w:p>
        </w:tc>
        <w:tc>
          <w:tcPr>
            <w:tcW w:type="dxa" w:w="6643"/>
            <w:gridSpan w:val="7"/>
            <w:tcBorders>
              <w:bottom w:val="single" w:sz="6" w:space="0" w:color="D4A23A"/>
            </w:tcBorders>
            <w:shd w:val="clear" w:color="auto" w:fill="0F2742"/>
            <w:vAlign w:val="center"/>
          </w:tcPr>
          <w:p>
            <w:pPr>
              <w:keepNext/>
              <w:spacing w:before="0" w:after="0" w:line="240" w:lineRule="auto"/>
              <w:jc w:val="center"/>
            </w:pPr>
            <w:r>
              <w:rPr>
                <w:b/>
                <w:i w:val="0"/>
                <w:color w:val="FFFFFF"/>
                <w:sz w:val="15"/>
              </w:rPr>
              <w:t>Share of site area in each slope band (%)</w:t>
            </w:r>
          </w:p>
        </w:tc>
      </w:tr>
      <w:tr>
        <w:trPr>
          <w:tblHeader/>
          <w:cantSplit/>
        </w:trPr>
        <w:tc>
          <w:tcPr>
            <w:tcW w:type="dxa" w:w="3225"/>
            <w:vMerge/>
            <w:shd w:val="clear" w:color="auto" w:fill="0F2742"/>
          </w:tcPr>
          <w:p>
            <w:pPr>
              <w:keepNext/>
            </w:pPr>
          </w:p>
        </w:tc>
        <w:tc>
          <w:tcPr>
            <w:tcW w:type="dxa" w:w="949"/>
            <w:shd w:val="clear" w:color="auto" w:fill="0F2742"/>
            <w:vAlign w:val="center"/>
          </w:tcPr>
          <w:p>
            <w:pPr>
              <w:keepNext/>
              <w:spacing w:before="0" w:after="0" w:line="240" w:lineRule="auto"/>
              <w:jc w:val="right"/>
            </w:pPr>
            <w:r>
              <w:rPr>
                <w:b/>
                <w:i w:val="0"/>
                <w:color w:val="FFFFFF"/>
                <w:sz w:val="15"/>
              </w:rPr>
              <w:t>0–2°</w:t>
            </w:r>
          </w:p>
        </w:tc>
        <w:tc>
          <w:tcPr>
            <w:tcW w:type="dxa" w:w="949"/>
            <w:shd w:val="clear" w:color="auto" w:fill="0F2742"/>
            <w:vAlign w:val="center"/>
          </w:tcPr>
          <w:p>
            <w:pPr>
              <w:keepNext/>
              <w:spacing w:before="0" w:after="0" w:line="240" w:lineRule="auto"/>
              <w:jc w:val="right"/>
            </w:pPr>
            <w:r>
              <w:rPr>
                <w:b/>
                <w:i w:val="0"/>
                <w:color w:val="FFFFFF"/>
                <w:sz w:val="15"/>
              </w:rPr>
              <w:t>2–5°</w:t>
            </w:r>
          </w:p>
        </w:tc>
        <w:tc>
          <w:tcPr>
            <w:tcW w:type="dxa" w:w="949"/>
            <w:shd w:val="clear" w:color="auto" w:fill="0F2742"/>
            <w:vAlign w:val="center"/>
          </w:tcPr>
          <w:p>
            <w:pPr>
              <w:keepNext/>
              <w:spacing w:before="0" w:after="0" w:line="240" w:lineRule="auto"/>
              <w:jc w:val="right"/>
            </w:pPr>
            <w:r>
              <w:rPr>
                <w:b/>
                <w:i w:val="0"/>
                <w:color w:val="FFFFFF"/>
                <w:sz w:val="15"/>
              </w:rPr>
              <w:t>5–10°</w:t>
            </w:r>
          </w:p>
        </w:tc>
        <w:tc>
          <w:tcPr>
            <w:tcW w:type="dxa" w:w="949"/>
            <w:shd w:val="clear" w:color="auto" w:fill="0F2742"/>
            <w:vAlign w:val="center"/>
          </w:tcPr>
          <w:p>
            <w:pPr>
              <w:keepNext/>
              <w:spacing w:before="0" w:after="0" w:line="240" w:lineRule="auto"/>
              <w:jc w:val="right"/>
            </w:pPr>
            <w:r>
              <w:rPr>
                <w:b/>
                <w:i w:val="0"/>
                <w:color w:val="FFFFFF"/>
                <w:sz w:val="15"/>
              </w:rPr>
              <w:t>10–15°</w:t>
            </w:r>
          </w:p>
        </w:tc>
        <w:tc>
          <w:tcPr>
            <w:tcW w:type="dxa" w:w="949"/>
            <w:shd w:val="clear" w:color="auto" w:fill="0F2742"/>
            <w:vAlign w:val="center"/>
          </w:tcPr>
          <w:p>
            <w:pPr>
              <w:keepNext/>
              <w:spacing w:before="0" w:after="0" w:line="240" w:lineRule="auto"/>
              <w:jc w:val="right"/>
            </w:pPr>
            <w:r>
              <w:rPr>
                <w:b/>
                <w:i w:val="0"/>
                <w:color w:val="FFFFFF"/>
                <w:sz w:val="15"/>
              </w:rPr>
              <w:t>15–25°</w:t>
            </w:r>
          </w:p>
        </w:tc>
        <w:tc>
          <w:tcPr>
            <w:tcW w:type="dxa" w:w="949"/>
            <w:shd w:val="clear" w:color="auto" w:fill="0F2742"/>
            <w:vAlign w:val="center"/>
          </w:tcPr>
          <w:p>
            <w:pPr>
              <w:keepNext/>
              <w:spacing w:before="0" w:after="0" w:line="240" w:lineRule="auto"/>
              <w:jc w:val="right"/>
            </w:pPr>
            <w:r>
              <w:rPr>
                <w:b/>
                <w:i w:val="0"/>
                <w:color w:val="FFFFFF"/>
                <w:sz w:val="15"/>
              </w:rPr>
              <w:t>25–35°</w:t>
            </w:r>
          </w:p>
        </w:tc>
        <w:tc>
          <w:tcPr>
            <w:tcW w:type="dxa" w:w="949"/>
            <w:shd w:val="clear" w:color="auto" w:fill="0F2742"/>
            <w:vAlign w:val="center"/>
          </w:tcPr>
          <w:p>
            <w:pPr>
              <w:keepNext/>
              <w:spacing w:before="0" w:after="0" w:line="240" w:lineRule="auto"/>
              <w:jc w:val="right"/>
            </w:pPr>
            <w:r>
              <w:rPr>
                <w:b/>
                <w:i w:val="0"/>
                <w:color w:val="FFFFFF"/>
                <w:sz w:val="15"/>
              </w:rPr>
              <w:t>&gt;35°</w:t>
            </w:r>
          </w:p>
        </w:tc>
      </w:tr>
      <w:tr>
        <w:trPr>
          <w:cantSplit/>
        </w:trPr>
        <w:tc>
          <w:tcPr>
            <w:tcW w:type="dxa" w:w="3225"/>
            <w:vAlign w:val="center"/>
          </w:tcPr>
          <w:p>
            <w:pPr>
              <w:spacing w:before="0" w:after="0" w:line="240" w:lineRule="auto"/>
              <w:jc w:val="left"/>
            </w:pPr>
            <w:r>
              <w:rPr>
                <w:b w:val="0"/>
                <w:i w:val="0"/>
                <w:color w:val="12233A"/>
                <w:sz w:val="16"/>
              </w:rPr>
              <w:t>Lot A paddy</w:t>
            </w:r>
          </w:p>
        </w:tc>
        <w:tc>
          <w:tcPr>
            <w:tcW w:type="dxa" w:w="949"/>
            <w:vAlign w:val="center"/>
          </w:tcPr>
          <w:p>
            <w:pPr>
              <w:spacing w:before="0" w:after="0" w:line="240" w:lineRule="auto"/>
              <w:jc w:val="right"/>
            </w:pPr>
            <w:r>
              <w:rPr>
                <w:b w:val="0"/>
                <w:i w:val="0"/>
                <w:color w:val="12233A"/>
                <w:sz w:val="16"/>
              </w:rPr>
              <w:t>92.6</w:t>
            </w:r>
          </w:p>
        </w:tc>
        <w:tc>
          <w:tcPr>
            <w:tcW w:type="dxa" w:w="949"/>
            <w:vAlign w:val="center"/>
          </w:tcPr>
          <w:p>
            <w:pPr>
              <w:spacing w:before="0" w:after="0" w:line="240" w:lineRule="auto"/>
              <w:jc w:val="right"/>
            </w:pPr>
            <w:r>
              <w:rPr>
                <w:b w:val="0"/>
                <w:i w:val="0"/>
                <w:color w:val="12233A"/>
                <w:sz w:val="16"/>
              </w:rPr>
              <w:t>7.4</w:t>
            </w:r>
          </w:p>
        </w:tc>
        <w:tc>
          <w:tcPr>
            <w:tcW w:type="dxa" w:w="949"/>
            <w:vAlign w:val="center"/>
          </w:tcPr>
          <w:p>
            <w:pPr>
              <w:spacing w:before="0" w:after="0" w:line="240" w:lineRule="auto"/>
              <w:jc w:val="right"/>
            </w:pPr>
            <w:r>
              <w:rPr>
                <w:b w:val="0"/>
                <w:i w:val="0"/>
                <w:color w:val="12233A"/>
                <w:sz w:val="16"/>
              </w:rPr>
              <w:t>0.0</w:t>
            </w:r>
          </w:p>
        </w:tc>
        <w:tc>
          <w:tcPr>
            <w:tcW w:type="dxa" w:w="949"/>
            <w:vAlign w:val="center"/>
          </w:tcPr>
          <w:p>
            <w:pPr>
              <w:spacing w:before="0" w:after="0" w:line="240" w:lineRule="auto"/>
              <w:jc w:val="right"/>
            </w:pPr>
            <w:r>
              <w:rPr>
                <w:b w:val="0"/>
                <w:i w:val="0"/>
                <w:color w:val="12233A"/>
                <w:sz w:val="16"/>
              </w:rPr>
              <w:t>0.0</w:t>
            </w:r>
          </w:p>
        </w:tc>
        <w:tc>
          <w:tcPr>
            <w:tcW w:type="dxa" w:w="949"/>
            <w:vAlign w:val="center"/>
          </w:tcPr>
          <w:p>
            <w:pPr>
              <w:spacing w:before="0" w:after="0" w:line="240" w:lineRule="auto"/>
              <w:jc w:val="right"/>
            </w:pPr>
            <w:r>
              <w:rPr>
                <w:b w:val="0"/>
                <w:i w:val="0"/>
                <w:color w:val="12233A"/>
                <w:sz w:val="16"/>
              </w:rPr>
              <w:t>0.0</w:t>
            </w:r>
          </w:p>
        </w:tc>
        <w:tc>
          <w:tcPr>
            <w:tcW w:type="dxa" w:w="949"/>
            <w:vAlign w:val="center"/>
          </w:tcPr>
          <w:p>
            <w:pPr>
              <w:spacing w:before="0" w:after="0" w:line="240" w:lineRule="auto"/>
              <w:jc w:val="right"/>
            </w:pPr>
            <w:r>
              <w:rPr>
                <w:b w:val="0"/>
                <w:i w:val="0"/>
                <w:color w:val="12233A"/>
                <w:sz w:val="16"/>
              </w:rPr>
              <w:t>0.0</w:t>
            </w:r>
          </w:p>
        </w:tc>
        <w:tc>
          <w:tcPr>
            <w:tcW w:type="dxa" w:w="949"/>
            <w:vAlign w:val="center"/>
          </w:tcPr>
          <w:p>
            <w:pPr>
              <w:spacing w:before="0" w:after="0" w:line="240" w:lineRule="auto"/>
              <w:jc w:val="right"/>
            </w:pPr>
            <w:r>
              <w:rPr>
                <w:b w:val="0"/>
                <w:i w:val="0"/>
                <w:color w:val="12233A"/>
                <w:sz w:val="16"/>
              </w:rPr>
              <w:t>0.0</w:t>
            </w:r>
          </w:p>
        </w:tc>
      </w:tr>
    </w:tbl>
    <w:p>
      <w:pPr>
        <w:spacing w:before="0" w:after="0" w:line="80" w:lineRule="exact"/>
      </w:pPr>
      <w:r>
        <w:rPr>
          <w:sz w:val="8"/>
        </w:rPr>
      </w:r>
    </w:p>
    <w:p>
      <w:pPr>
        <w:pStyle w:val="Heading2"/>
      </w:pPr>
      <w:r>
        <w:t>Routes</w:t>
      </w:r>
    </w:p>
    <w:tbl>
      <w:tblPr>
        <w:tblW w:type="dxa" w:w="9864"/>
        <w:jc w:val="left"/>
        <w:tblBorders>
          <w:top w:val="nil"/>
          <w:left w:val="nil"/>
          <w:bottom w:val="single" w:sz="8" w:space="0" w:color="0F2742"/>
          <w:right w:val="nil"/>
          <w:insideH w:val="single" w:sz="4" w:space="0" w:color="D6DCE3"/>
          <w:insideV w:val="nil"/>
        </w:tblBorders>
        <w:tblLayout w:type="fixed"/>
        <w:tblCellMar>
          <w:top w:w="70" w:type="dxa"/>
          <w:left w:w="90" w:type="dxa"/>
          <w:bottom w:w="70" w:type="dxa"/>
          <w:right w:w="90" w:type="dxa"/>
        </w:tblCellMar>
        <w:tblLook w:firstColumn="1" w:firstRow="1" w:lastColumn="0" w:lastRow="0" w:noHBand="0" w:noVBand="1" w:val="04A0"/>
      </w:tblPr>
      <w:tblGrid>
        <w:gridCol w:w="3494"/>
        <w:gridCol w:w="1336"/>
        <w:gridCol w:w="1952"/>
        <w:gridCol w:w="1541"/>
        <w:gridCol w:w="1541"/>
      </w:tblGrid>
      <w:tr>
        <w:trPr>
          <w:tblHeader/>
          <w:cantSplit/>
        </w:trPr>
        <w:tc>
          <w:tcPr>
            <w:tcW w:type="dxa" w:w="3494"/>
            <w:shd w:val="clear" w:color="auto" w:fill="0F2742"/>
            <w:vAlign w:val="center"/>
          </w:tcPr>
          <w:p>
            <w:pPr>
              <w:keepNext/>
              <w:spacing w:before="0" w:after="0" w:line="240" w:lineRule="auto"/>
              <w:jc w:val="left"/>
            </w:pPr>
            <w:r>
              <w:rPr>
                <w:b/>
                <w:i w:val="0"/>
                <w:color w:val="FFFFFF"/>
                <w:sz w:val="15"/>
              </w:rPr>
              <w:t>Route</w:t>
            </w:r>
          </w:p>
        </w:tc>
        <w:tc>
          <w:tcPr>
            <w:tcW w:type="dxa" w:w="1336"/>
            <w:shd w:val="clear" w:color="auto" w:fill="0F2742"/>
            <w:vAlign w:val="center"/>
          </w:tcPr>
          <w:p>
            <w:pPr>
              <w:keepNext/>
              <w:spacing w:before="0" w:after="0" w:line="240" w:lineRule="auto"/>
              <w:jc w:val="right"/>
            </w:pPr>
            <w:r>
              <w:rPr>
                <w:b/>
                <w:i w:val="0"/>
                <w:color w:val="FFFFFF"/>
                <w:sz w:val="15"/>
              </w:rPr>
              <w:t>Length (km)</w:t>
            </w:r>
          </w:p>
        </w:tc>
        <w:tc>
          <w:tcPr>
            <w:tcW w:type="dxa" w:w="1952"/>
            <w:shd w:val="clear" w:color="auto" w:fill="0F2742"/>
            <w:vAlign w:val="center"/>
          </w:tcPr>
          <w:p>
            <w:pPr>
              <w:keepNext/>
              <w:spacing w:before="0" w:after="0" w:line="240" w:lineRule="auto"/>
              <w:jc w:val="right"/>
            </w:pPr>
            <w:r>
              <w:rPr>
                <w:b/>
                <w:i w:val="0"/>
                <w:color w:val="FFFFFF"/>
                <w:sz w:val="15"/>
              </w:rPr>
              <w:t>Elevation min–max (m)</w:t>
            </w:r>
          </w:p>
        </w:tc>
        <w:tc>
          <w:tcPr>
            <w:tcW w:type="dxa" w:w="1541"/>
            <w:shd w:val="clear" w:color="auto" w:fill="0F2742"/>
            <w:vAlign w:val="center"/>
          </w:tcPr>
          <w:p>
            <w:pPr>
              <w:keepNext/>
              <w:spacing w:before="0" w:after="0" w:line="240" w:lineRule="auto"/>
              <w:jc w:val="right"/>
            </w:pPr>
            <w:r>
              <w:rPr>
                <w:b/>
                <w:i w:val="0"/>
                <w:color w:val="FFFFFF"/>
                <w:sz w:val="15"/>
              </w:rPr>
              <w:t>Total ascent (m)</w:t>
            </w:r>
          </w:p>
        </w:tc>
        <w:tc>
          <w:tcPr>
            <w:tcW w:type="dxa" w:w="1541"/>
            <w:shd w:val="clear" w:color="auto" w:fill="0F2742"/>
            <w:vAlign w:val="center"/>
          </w:tcPr>
          <w:p>
            <w:pPr>
              <w:keepNext/>
              <w:spacing w:before="0" w:after="0" w:line="240" w:lineRule="auto"/>
              <w:jc w:val="right"/>
            </w:pPr>
            <w:r>
              <w:rPr>
                <w:b/>
                <w:i w:val="0"/>
                <w:color w:val="FFFFFF"/>
                <w:sz w:val="15"/>
              </w:rPr>
              <w:t>Max grade (%)</w:t>
            </w:r>
          </w:p>
        </w:tc>
      </w:tr>
      <w:tr>
        <w:trPr>
          <w:cantSplit/>
        </w:trPr>
        <w:tc>
          <w:tcPr>
            <w:tcW w:type="dxa" w:w="3494"/>
            <w:vAlign w:val="center"/>
          </w:tcPr>
          <w:p>
            <w:pPr>
              <w:spacing w:before="0" w:after="0" w:line="240" w:lineRule="auto"/>
              <w:jc w:val="left"/>
            </w:pPr>
            <w:r>
              <w:rPr>
                <w:b w:val="0"/>
                <w:i w:val="0"/>
                <w:color w:val="12233A"/>
                <w:sz w:val="16"/>
              </w:rPr>
              <w:t>33 kV cable route</w:t>
            </w:r>
          </w:p>
        </w:tc>
        <w:tc>
          <w:tcPr>
            <w:tcW w:type="dxa" w:w="1336"/>
            <w:vAlign w:val="center"/>
          </w:tcPr>
          <w:p>
            <w:pPr>
              <w:spacing w:before="0" w:after="0" w:line="240" w:lineRule="auto"/>
              <w:jc w:val="right"/>
            </w:pPr>
            <w:r>
              <w:rPr>
                <w:b w:val="0"/>
                <w:i w:val="0"/>
                <w:color w:val="12233A"/>
                <w:sz w:val="16"/>
              </w:rPr>
              <w:t>2.03</w:t>
            </w:r>
          </w:p>
        </w:tc>
        <w:tc>
          <w:tcPr>
            <w:tcW w:type="dxa" w:w="1952"/>
            <w:vAlign w:val="center"/>
          </w:tcPr>
          <w:p>
            <w:pPr>
              <w:spacing w:before="0" w:after="0" w:line="240" w:lineRule="auto"/>
              <w:jc w:val="right"/>
            </w:pPr>
            <w:r>
              <w:rPr>
                <w:b w:val="0"/>
                <w:i w:val="0"/>
                <w:color w:val="12233A"/>
                <w:sz w:val="16"/>
              </w:rPr>
              <w:t>2.2–5.5</w:t>
            </w:r>
          </w:p>
        </w:tc>
        <w:tc>
          <w:tcPr>
            <w:tcW w:type="dxa" w:w="1541"/>
            <w:vAlign w:val="center"/>
          </w:tcPr>
          <w:p>
            <w:pPr>
              <w:spacing w:before="0" w:after="0" w:line="240" w:lineRule="auto"/>
              <w:jc w:val="right"/>
            </w:pPr>
            <w:r>
              <w:rPr>
                <w:b w:val="0"/>
                <w:i w:val="0"/>
                <w:color w:val="12233A"/>
                <w:sz w:val="16"/>
              </w:rPr>
              <w:t>5.3</w:t>
            </w:r>
          </w:p>
        </w:tc>
        <w:tc>
          <w:tcPr>
            <w:tcW w:type="dxa" w:w="1541"/>
            <w:vAlign w:val="center"/>
          </w:tcPr>
          <w:p>
            <w:pPr>
              <w:spacing w:before="0" w:after="0" w:line="240" w:lineRule="auto"/>
              <w:jc w:val="right"/>
            </w:pPr>
            <w:r>
              <w:rPr>
                <w:b w:val="0"/>
                <w:i w:val="0"/>
                <w:color w:val="12233A"/>
                <w:sz w:val="16"/>
              </w:rPr>
              <w:t>2.1</w:t>
            </w:r>
          </w:p>
        </w:tc>
      </w:tr>
    </w:tbl>
    <w:p>
      <w:pPr>
        <w:spacing w:before="0" w:after="0" w:line="80" w:lineRule="exact"/>
      </w:pPr>
      <w:r>
        <w:rPr>
          <w:sz w:val="8"/>
        </w:rPr>
      </w:r>
    </w:p>
    <w:p>
      <w:pPr>
        <w:pStyle w:val="Heading2"/>
      </w:pPr>
      <w:r>
        <w:t>Points</w:t>
      </w:r>
    </w:p>
    <w:tbl>
      <w:tblPr>
        <w:tblW w:type="dxa" w:w="9866"/>
        <w:jc w:val="left"/>
        <w:tblBorders>
          <w:top w:val="nil"/>
          <w:left w:val="nil"/>
          <w:bottom w:val="single" w:sz="8" w:space="0" w:color="0F2742"/>
          <w:right w:val="nil"/>
          <w:insideH w:val="single" w:sz="4" w:space="0" w:color="D6DCE3"/>
          <w:insideV w:val="nil"/>
        </w:tblBorders>
        <w:tblLayout w:type="fixed"/>
        <w:tblCellMar>
          <w:top w:w="70" w:type="dxa"/>
          <w:left w:w="90" w:type="dxa"/>
          <w:bottom w:w="70" w:type="dxa"/>
          <w:right w:w="90" w:type="dxa"/>
        </w:tblCellMar>
        <w:tblLook w:firstColumn="1" w:firstRow="1" w:lastColumn="0" w:lastRow="0" w:noHBand="0" w:noVBand="1" w:val="04A0"/>
      </w:tblPr>
      <w:tblGrid>
        <w:gridCol w:w="4141"/>
        <w:gridCol w:w="1949"/>
        <w:gridCol w:w="1949"/>
        <w:gridCol w:w="1827"/>
      </w:tblGrid>
      <w:tr>
        <w:trPr>
          <w:tblHeader/>
          <w:cantSplit/>
        </w:trPr>
        <w:tc>
          <w:tcPr>
            <w:tcW w:type="dxa" w:w="4141"/>
            <w:shd w:val="clear" w:color="auto" w:fill="0F2742"/>
            <w:vAlign w:val="center"/>
          </w:tcPr>
          <w:p>
            <w:pPr>
              <w:keepNext/>
              <w:spacing w:before="0" w:after="0" w:line="240" w:lineRule="auto"/>
              <w:jc w:val="left"/>
            </w:pPr>
            <w:r>
              <w:rPr>
                <w:b/>
                <w:i w:val="0"/>
                <w:color w:val="FFFFFF"/>
                <w:sz w:val="15"/>
              </w:rPr>
              <w:t>Point</w:t>
            </w:r>
          </w:p>
        </w:tc>
        <w:tc>
          <w:tcPr>
            <w:tcW w:type="dxa" w:w="1949"/>
            <w:shd w:val="clear" w:color="auto" w:fill="0F2742"/>
            <w:vAlign w:val="center"/>
          </w:tcPr>
          <w:p>
            <w:pPr>
              <w:keepNext/>
              <w:spacing w:before="0" w:after="0" w:line="240" w:lineRule="auto"/>
              <w:jc w:val="right"/>
            </w:pPr>
            <w:r>
              <w:rPr>
                <w:b/>
                <w:i w:val="0"/>
                <w:color w:val="FFFFFF"/>
                <w:sz w:val="15"/>
              </w:rPr>
              <w:t>Latitude (°)</w:t>
            </w:r>
          </w:p>
        </w:tc>
        <w:tc>
          <w:tcPr>
            <w:tcW w:type="dxa" w:w="1949"/>
            <w:shd w:val="clear" w:color="auto" w:fill="0F2742"/>
            <w:vAlign w:val="center"/>
          </w:tcPr>
          <w:p>
            <w:pPr>
              <w:keepNext/>
              <w:spacing w:before="0" w:after="0" w:line="240" w:lineRule="auto"/>
              <w:jc w:val="right"/>
            </w:pPr>
            <w:r>
              <w:rPr>
                <w:b/>
                <w:i w:val="0"/>
                <w:color w:val="FFFFFF"/>
                <w:sz w:val="15"/>
              </w:rPr>
              <w:t>Longitude (°)</w:t>
            </w:r>
          </w:p>
        </w:tc>
        <w:tc>
          <w:tcPr>
            <w:tcW w:type="dxa" w:w="1827"/>
            <w:shd w:val="clear" w:color="auto" w:fill="0F2742"/>
            <w:vAlign w:val="center"/>
          </w:tcPr>
          <w:p>
            <w:pPr>
              <w:keepNext/>
              <w:spacing w:before="0" w:after="0" w:line="240" w:lineRule="auto"/>
              <w:jc w:val="right"/>
            </w:pPr>
            <w:r>
              <w:rPr>
                <w:b/>
                <w:i w:val="0"/>
                <w:color w:val="FFFFFF"/>
                <w:sz w:val="15"/>
              </w:rPr>
              <w:t>Elevation (m)</w:t>
            </w:r>
          </w:p>
        </w:tc>
      </w:tr>
      <w:tr>
        <w:trPr>
          <w:cantSplit/>
        </w:trPr>
        <w:tc>
          <w:tcPr>
            <w:tcW w:type="dxa" w:w="4141"/>
            <w:vAlign w:val="center"/>
          </w:tcPr>
          <w:p>
            <w:pPr>
              <w:spacing w:before="0" w:after="0" w:line="240" w:lineRule="auto"/>
              <w:jc w:val="left"/>
            </w:pPr>
            <w:r>
              <w:rPr>
                <w:b w:val="0"/>
                <w:i w:val="0"/>
                <w:color w:val="12233A"/>
                <w:sz w:val="16"/>
              </w:rPr>
              <w:t>PMU</w:t>
            </w:r>
          </w:p>
        </w:tc>
        <w:tc>
          <w:tcPr>
            <w:tcW w:type="dxa" w:w="1949"/>
            <w:vAlign w:val="center"/>
          </w:tcPr>
          <w:p>
            <w:pPr>
              <w:spacing w:before="0" w:after="0" w:line="240" w:lineRule="auto"/>
              <w:jc w:val="right"/>
            </w:pPr>
            <w:r>
              <w:rPr>
                <w:b w:val="0"/>
                <w:i w:val="0"/>
                <w:color w:val="12233A"/>
                <w:sz w:val="16"/>
              </w:rPr>
              <w:t>6.05290</w:t>
            </w:r>
          </w:p>
        </w:tc>
        <w:tc>
          <w:tcPr>
            <w:tcW w:type="dxa" w:w="1949"/>
            <w:vAlign w:val="center"/>
          </w:tcPr>
          <w:p>
            <w:pPr>
              <w:spacing w:before="0" w:after="0" w:line="240" w:lineRule="auto"/>
              <w:jc w:val="right"/>
            </w:pPr>
            <w:r>
              <w:rPr>
                <w:b w:val="0"/>
                <w:i w:val="0"/>
                <w:color w:val="12233A"/>
                <w:sz w:val="16"/>
              </w:rPr>
              <w:t>100.37380</w:t>
            </w:r>
          </w:p>
        </w:tc>
        <w:tc>
          <w:tcPr>
            <w:tcW w:type="dxa" w:w="1827"/>
            <w:vAlign w:val="center"/>
          </w:tcPr>
          <w:p>
            <w:pPr>
              <w:spacing w:before="0" w:after="0" w:line="240" w:lineRule="auto"/>
              <w:jc w:val="right"/>
            </w:pPr>
            <w:r>
              <w:rPr>
                <w:b w:val="0"/>
                <w:i w:val="0"/>
                <w:color w:val="12233A"/>
                <w:sz w:val="16"/>
              </w:rPr>
              <w:t>5.3</w:t>
            </w:r>
          </w:p>
        </w:tc>
      </w:tr>
    </w:tbl>
    <w:p>
      <w:pPr>
        <w:spacing w:before="0" w:after="0" w:line="80" w:lineRule="exact"/>
      </w:pPr>
      <w:r>
        <w:rPr>
          <w:sz w:val="8"/>
        </w:rPr>
      </w:r>
    </w:p>
    <w:p>
      <w:pPr>
        <w:pStyle w:val="Heading1"/>
        <w:pageBreakBefore/>
      </w:pPr>
      <w:r>
        <w:t>Figures</w:t>
      </w:r>
    </w:p>
    <w:p>
      <w:pPr>
        <w:pStyle w:val="Heading2"/>
      </w:pPr>
      <w:r>
        <w:t>Figure 1. Site layout</w:t>
      </w:r>
    </w:p>
    <w:p>
      <w:pPr>
        <w:keepNext/>
        <w:jc w:val="center"/>
      </w:pPr>
      <w:r>
        <w:drawing>
          <wp:inline xmlns:a="http://schemas.openxmlformats.org/drawingml/2006/main" xmlns:pic="http://schemas.openxmlformats.org/drawingml/2006/picture">
            <wp:extent cx="5760000" cy="4561066"/>
            <wp:docPr id="1" name="Picture 1" descr="Figure 1. Site layout"/>
            <wp:cNvGraphicFramePr>
              <a:graphicFrameLocks noChangeAspect="1"/>
            </wp:cNvGraphicFramePr>
            <a:graphic>
              <a:graphicData uri="http://schemas.openxmlformats.org/drawingml/2006/picture">
                <pic:pic>
                  <pic:nvPicPr>
                    <pic:cNvPr id="0" name="1_site_layout.png"/>
                    <pic:cNvPicPr/>
                  </pic:nvPicPr>
                  <pic:blipFill>
                    <a:blip r:embed="rId11"/>
                    <a:stretch>
                      <a:fillRect/>
                    </a:stretch>
                  </pic:blipFill>
                  <pic:spPr>
                    <a:xfrm>
                      <a:off x="0" y="0"/>
                      <a:ext cx="5760000" cy="4561066"/>
                    </a:xfrm>
                    <a:prstGeom prst="rect"/>
                  </pic:spPr>
                </pic:pic>
              </a:graphicData>
            </a:graphic>
          </wp:inline>
        </w:drawing>
      </w:r>
    </w:p>
    <w:p>
      <w:pPr>
        <w:pStyle w:val="Caption"/>
      </w:pPr>
      <w:r>
        <w:rPr>
          <w:b/>
        </w:rPr>
        <w:t xml:space="preserve">Figure 1. </w:t>
      </w:r>
      <w:r>
        <w:t>Site boundaries, routes and points as supplied in the KML, with areas in hectares, on a local UTM grid (EPSG:32647).</w:t>
      </w:r>
    </w:p>
    <w:p>
      <w:pPr>
        <w:pStyle w:val="Heading2"/>
        <w:pageBreakBefore/>
      </w:pPr>
      <w:r>
        <w:t>Figure 2. Elevation and contours</w:t>
      </w:r>
    </w:p>
    <w:p>
      <w:pPr>
        <w:keepNext/>
        <w:jc w:val="center"/>
      </w:pPr>
      <w:r>
        <w:drawing>
          <wp:inline xmlns:a="http://schemas.openxmlformats.org/drawingml/2006/main" xmlns:pic="http://schemas.openxmlformats.org/drawingml/2006/picture">
            <wp:extent cx="5760000" cy="3985398"/>
            <wp:docPr id="2" name="Picture 2" descr="Figure 2. Elevation and contours"/>
            <wp:cNvGraphicFramePr>
              <a:graphicFrameLocks noChangeAspect="1"/>
            </wp:cNvGraphicFramePr>
            <a:graphic>
              <a:graphicData uri="http://schemas.openxmlformats.org/drawingml/2006/picture">
                <pic:pic>
                  <pic:nvPicPr>
                    <pic:cNvPr id="0" name="2_elevation.png"/>
                    <pic:cNvPicPr/>
                  </pic:nvPicPr>
                  <pic:blipFill>
                    <a:blip r:embed="rId12"/>
                    <a:stretch>
                      <a:fillRect/>
                    </a:stretch>
                  </pic:blipFill>
                  <pic:spPr>
                    <a:xfrm>
                      <a:off x="0" y="0"/>
                      <a:ext cx="5760000" cy="3985398"/>
                    </a:xfrm>
                    <a:prstGeom prst="rect"/>
                  </pic:spPr>
                </pic:pic>
              </a:graphicData>
            </a:graphic>
          </wp:inline>
        </w:drawing>
      </w:r>
    </w:p>
    <w:p>
      <w:pPr>
        <w:pStyle w:val="Caption"/>
      </w:pPr>
      <w:r>
        <w:rPr>
          <w:b/>
        </w:rPr>
        <w:t xml:space="preserve">Figure 2. </w:t>
      </w:r>
      <w:r>
        <w:t>Shaded Copernicus DEM GLO-30 surface elevation with contours every 5 m; tree canopy and buildings are included in the surface.</w:t>
      </w:r>
    </w:p>
    <w:p>
      <w:pPr>
        <w:pStyle w:val="Heading2"/>
        <w:pageBreakBefore/>
      </w:pPr>
      <w:r>
        <w:t>Figure 3. Slope classes</w:t>
      </w:r>
    </w:p>
    <w:p>
      <w:pPr>
        <w:keepNext/>
        <w:jc w:val="center"/>
      </w:pPr>
      <w:r>
        <w:drawing>
          <wp:inline xmlns:a="http://schemas.openxmlformats.org/drawingml/2006/main" xmlns:pic="http://schemas.openxmlformats.org/drawingml/2006/picture">
            <wp:extent cx="5760000" cy="3538758"/>
            <wp:docPr id="3" name="Picture 3" descr="Figure 3. Slope classes"/>
            <wp:cNvGraphicFramePr>
              <a:graphicFrameLocks noChangeAspect="1"/>
            </wp:cNvGraphicFramePr>
            <a:graphic>
              <a:graphicData uri="http://schemas.openxmlformats.org/drawingml/2006/picture">
                <pic:pic>
                  <pic:nvPicPr>
                    <pic:cNvPr id="0" name="3_slope_classes.png"/>
                    <pic:cNvPicPr/>
                  </pic:nvPicPr>
                  <pic:blipFill>
                    <a:blip r:embed="rId13"/>
                    <a:stretch>
                      <a:fillRect/>
                    </a:stretch>
                  </pic:blipFill>
                  <pic:spPr>
                    <a:xfrm>
                      <a:off x="0" y="0"/>
                      <a:ext cx="5760000" cy="3538758"/>
                    </a:xfrm>
                    <a:prstGeom prst="rect"/>
                  </pic:spPr>
                </pic:pic>
              </a:graphicData>
            </a:graphic>
          </wp:inline>
        </w:drawing>
      </w:r>
    </w:p>
    <w:p>
      <w:pPr>
        <w:pStyle w:val="Caption"/>
      </w:pPr>
      <w:r>
        <w:rPr>
          <w:b/>
        </w:rPr>
        <w:t xml:space="preserve">Figure 3. </w:t>
      </w:r>
      <w:r>
        <w:t>Slope from the elevation model in seven bands, with the KPKT class boundaries at 15°, 25° and 35°; 100.0% of the site area is KPKT Class I (below 15°).</w:t>
      </w:r>
    </w:p>
    <w:p>
      <w:pPr>
        <w:pStyle w:val="Heading2"/>
        <w:pageBreakBefore/>
      </w:pPr>
      <w:r>
        <w:t>Figure 4. Terrain profiles</w:t>
      </w:r>
    </w:p>
    <w:p>
      <w:pPr>
        <w:keepNext/>
        <w:jc w:val="center"/>
      </w:pPr>
      <w:r>
        <w:drawing>
          <wp:inline xmlns:a="http://schemas.openxmlformats.org/drawingml/2006/main" xmlns:pic="http://schemas.openxmlformats.org/drawingml/2006/picture">
            <wp:extent cx="5760000" cy="4750080"/>
            <wp:docPr id="4" name="Picture 4" descr="Figure 4. Terrain profiles"/>
            <wp:cNvGraphicFramePr>
              <a:graphicFrameLocks noChangeAspect="1"/>
            </wp:cNvGraphicFramePr>
            <a:graphic>
              <a:graphicData uri="http://schemas.openxmlformats.org/drawingml/2006/picture">
                <pic:pic>
                  <pic:nvPicPr>
                    <pic:cNvPr id="0" name="4_profiles.png"/>
                    <pic:cNvPicPr/>
                  </pic:nvPicPr>
                  <pic:blipFill>
                    <a:blip r:embed="rId14"/>
                    <a:stretch>
                      <a:fillRect/>
                    </a:stretch>
                  </pic:blipFill>
                  <pic:spPr>
                    <a:xfrm>
                      <a:off x="0" y="0"/>
                      <a:ext cx="5760000" cy="4750080"/>
                    </a:xfrm>
                    <a:prstGeom prst="rect"/>
                  </pic:spPr>
                </pic:pic>
              </a:graphicData>
            </a:graphic>
          </wp:inline>
        </w:drawing>
      </w:r>
    </w:p>
    <w:p>
      <w:pPr>
        <w:pStyle w:val="Caption"/>
      </w:pPr>
      <w:r>
        <w:rPr>
          <w:b/>
        </w:rPr>
        <w:t xml:space="preserve">Figure 4. </w:t>
      </w:r>
      <w:r>
        <w:t>West–east and south–north sections through “Lot A paddy”, plus the elevation profile along 1 route; the vertical scale is exaggerated and not to scale.</w:t>
      </w:r>
    </w:p>
    <w:p>
      <w:pPr>
        <w:pStyle w:val="Heading1"/>
        <w:pageBreakBefore/>
      </w:pPr>
      <w:r>
        <w:t>Recommended follow-up studies</w:t>
      </w:r>
    </w:p>
    <w:p>
      <w:pPr>
        <w:pStyle w:val="ListNumber"/>
        <w:spacing w:after="120"/>
      </w:pPr>
      <w:r>
        <w:rPr>
          <w:b/>
          <w:color w:val="0F2742"/>
        </w:rPr>
        <w:t>Licensed topographic survey</w:t>
      </w:r>
      <w:r>
        <w:br/>
      </w:r>
      <w:r>
        <w:t>Before layout, earthworks or drainage design, commission a topographic survey by a licensed land surveyor (Licensed Land Surveyors Act 1958), or LiDAR / drone photogrammetry tied to surveyed ground control points.</w:t>
      </w:r>
    </w:p>
    <w:p>
      <w:pPr>
        <w:pStyle w:val="ListNumber"/>
        <w:spacing w:after="120"/>
      </w:pPr>
      <w:r>
        <w:rPr>
          <w:b/>
          <w:color w:val="0F2742"/>
        </w:rPr>
        <w:t>Geological map review (JMG)</w:t>
      </w:r>
      <w:r>
        <w:br/>
      </w:r>
      <w:r>
        <w:t>Review the Jabatan Mineral dan Geosains (JMG) geological map sheet for the site: formation, lithology and any karst or ex-mining ground that affects piling, anchoring or foundations.</w:t>
      </w:r>
    </w:p>
    <w:p>
      <w:pPr>
        <w:pStyle w:val="ListNumber"/>
        <w:spacing w:after="120"/>
      </w:pPr>
      <w:r>
        <w:rPr>
          <w:b/>
          <w:color w:val="0F2742"/>
        </w:rPr>
        <w:t>Rainfall and climate data (MET Malaysia)</w:t>
      </w:r>
      <w:r>
        <w:br/>
      </w:r>
      <w:r>
        <w:t>Obtain climate normals and rainfall records from the nearest MET Malaysia station; rainfall intensity feeds stormwater design to MSMA 2nd Edition.</w:t>
      </w:r>
    </w:p>
    <w:p>
      <w:pPr>
        <w:pStyle w:val="ListNumber"/>
        <w:spacing w:after="120"/>
      </w:pPr>
      <w:r>
        <w:rPr>
          <w:b/>
          <w:color w:val="0F2742"/>
        </w:rPr>
        <w:t>Surrounding land-use scan (1 / 5 / 10 km)</w:t>
      </w:r>
      <w:r>
        <w:br/>
      </w:r>
      <w:r>
        <w:t>Map settlements, schools, rivers and water intakes, forest reserves, industry and mining within 1 km, 5 km and 10 km of the site as context for EIA and SIA scoping.</w:t>
      </w:r>
    </w:p>
    <w:p>
      <w:pPr>
        <w:pStyle w:val="ListNumber"/>
        <w:spacing w:after="120"/>
      </w:pPr>
      <w:r>
        <w:rPr>
          <w:b/>
          <w:color w:val="0F2742"/>
        </w:rPr>
        <w:t>Land title, zoning and local authority requirements</w:t>
      </w:r>
      <w:r>
        <w:br/>
      </w:r>
      <w:r>
        <w:t>Confirm the land title, category of land use and any express conditions, the zoning in the local plan (Rancangan Tempatan), and the requirements of the local authority (PBT) for this type of development.</w:t>
      </w:r>
    </w:p>
    <w:p>
      <w:pPr>
        <w:pStyle w:val="ListNumber"/>
        <w:spacing w:after="120"/>
      </w:pPr>
      <w:r>
        <w:rPr>
          <w:b/>
          <w:color w:val="0F2742"/>
        </w:rPr>
        <w:t>Route wayleave and crossings</w:t>
      </w:r>
      <w:r>
        <w:br/>
      </w:r>
      <w:r>
        <w:t>Confirm land access and wayleaves along the cable or access route and identify road, river and railway crossings and TNB technical requirements; none of these show on an elevation model.</w:t>
      </w:r>
    </w:p>
    <w:p>
      <w:pPr>
        <w:pStyle w:val="Heading1"/>
      </w:pPr>
      <w:r>
        <w:t>Caveats and limitations</w:t>
      </w:r>
    </w:p>
    <w:p>
      <w:pPr>
        <w:pStyle w:val="ListBullet"/>
        <w:spacing w:after="80"/>
      </w:pPr>
      <w:r>
        <w:t>Screening grade only: this is a desktop terrain screening from an open global elevation model, not a survey.</w:t>
      </w:r>
    </w:p>
    <w:p>
      <w:pPr>
        <w:pStyle w:val="ListBullet"/>
        <w:spacing w:after="80"/>
      </w:pPr>
      <w:r>
        <w:t>The Copernicus DEM GLO-30 is a surface model: it records the top of tree canopy and buildings, not bare ground. Plantations, forest and built-up areas read higher than the ground beneath them, and slopes at their edges can be exaggerated.</w:t>
      </w:r>
    </w:p>
    <w:p>
      <w:pPr>
        <w:pStyle w:val="ListBullet"/>
        <w:spacing w:after="80"/>
      </w:pPr>
      <w:r>
        <w:t>Elevations show the ground as it was in 2011–2015 (TanDEM-X acquisitions). Ponds, cuttings, platforms and buildings made since then are not represented.</w:t>
      </w:r>
    </w:p>
    <w:p>
      <w:pPr>
        <w:pStyle w:val="ListBullet"/>
        <w:spacing w:after="80"/>
      </w:pPr>
      <w:r>
        <w:t>The nominal 30 m resolution (analysed at about 31 m) smooths out bunds, drains and short steep cuttings, so local slopes are underestimated.</w:t>
      </w:r>
    </w:p>
    <w:p>
      <w:pPr>
        <w:pStyle w:val="ListBullet"/>
        <w:spacing w:after="80"/>
      </w:pPr>
      <w:r>
        <w:t>Site geometry is used exactly as supplied in the uploaded KML/KMZ file; it has not been checked against title plans or survey boundaries.</w:t>
      </w:r>
    </w:p>
    <w:p>
      <w:pPr>
        <w:pStyle w:val="ListBullet"/>
        <w:spacing w:after="80"/>
      </w:pPr>
      <w:r>
        <w:t>Not for authority submissions or design: planning applications, earthworks, drainage and structural design need a licensed survey and qualified engineers.</w:t>
      </w:r>
    </w:p>
    <w:p>
      <w:pPr>
        <w:pStyle w:val="Heading1"/>
      </w:pPr>
      <w:r>
        <w:t>Data sources and attribution</w:t>
      </w:r>
    </w:p>
    <w:p>
      <w:pPr>
        <w:pStyle w:val="ListBullet"/>
        <w:spacing w:after="80"/>
      </w:pPr>
      <w:r>
        <w:rPr>
          <w:b/>
        </w:rPr>
        <w:t xml:space="preserve">Elevation data: </w:t>
      </w:r>
      <w:r>
        <w:t>Copernicus DEM GLO-30 © DLR e.V. 2010–2014 and © Airbus Defence and Space GmbH 2014–2018, provided under COPERNICUS by the European Union and ESA; all rights reserved.</w:t>
      </w:r>
    </w:p>
    <w:p>
      <w:pPr>
        <w:pStyle w:val="ListBullet"/>
        <w:spacing w:after="80"/>
      </w:pPr>
      <w:r>
        <w:rPr>
          <w:b/>
        </w:rPr>
        <w:t xml:space="preserve">Elevation model: </w:t>
      </w:r>
      <w:r>
        <w:t>Copernicus DEM GLO-30; DSM (surface model: includes tree canopy and buildings); acquired 2011–2015 (TanDEM-X acquisitions); vertical datum EGM2008; 30 m nominal resolution, analysed at 30.7 m over 6,402 cells (0.0% without data).</w:t>
      </w:r>
    </w:p>
    <w:p>
      <w:pPr>
        <w:pStyle w:val="ListBullet"/>
        <w:spacing w:after="80"/>
      </w:pPr>
      <w:r>
        <w:rPr>
          <w:b/>
        </w:rPr>
        <w:t xml:space="preserve">Administrative boundaries: </w:t>
      </w:r>
      <w:r>
        <w:t>geoBoundaries (gbOpen) — states © OpenStreetMap contributors (ODbL 1.0); districts citypopulation.de (CC BY 3.0).</w:t>
      </w:r>
    </w:p>
    <w:p>
      <w:pPr>
        <w:pStyle w:val="ListBullet"/>
        <w:spacing w:after="80"/>
      </w:pPr>
      <w:r>
        <w:rPr>
          <w:b/>
        </w:rPr>
        <w:t xml:space="preserve">Projection: </w:t>
      </w:r>
      <w:r>
        <w:t>areas, lengths and slopes are computed on a local UTM grid (EPSG:32647, WGS 84).</w:t>
      </w:r>
    </w:p>
    <w:p>
      <w:pPr>
        <w:pStyle w:val="ListBullet"/>
        <w:spacing w:after="80"/>
      </w:pPr>
      <w:r>
        <w:rPr>
          <w:b/>
        </w:rPr>
        <w:t xml:space="preserve">Site geometry: </w:t>
      </w:r>
      <w:r>
        <w:t>flat_site_kedah.kml, used as supplied (SHA-256 045a5befe1ca93a2…).</w:t>
      </w:r>
    </w:p>
    <w:p>
      <w:pPr>
        <w:pStyle w:val="ListBullet"/>
        <w:spacing w:after="80"/>
      </w:pPr>
      <w:r>
        <w:rPr>
          <w:b/>
        </w:rPr>
        <w:t xml:space="preserve">Analysis: </w:t>
      </w:r>
      <w:r>
        <w:t>EcoEnergy terrain screening engine v1</w:t>
      </w:r>
    </w:p>
    <w:p>
      <w:pPr>
        <w:pStyle w:val="Heading1"/>
      </w:pPr>
      <w:r>
        <w:t>Disclaimer</w:t>
      </w:r>
    </w:p>
    <w:p>
      <w:r>
        <w:rPr>
          <w:i w:val="0"/>
          <w:color w:val="12233A"/>
          <w:sz w:val="20"/>
        </w:rPr>
        <w:t>This report is a desktop screening produced automatically from open global elevation data, for early-stage site comparison only. It is not a topographic survey, not engineering design and not for submission to any authority. A topographic survey by a licensed land surveyor (Licensed Land Surveyors Act 1958) is required for design. EcoEnergy Consultancy accepts no liability for decisions made solely on the basis of this screening.</w:t>
      </w:r>
    </w:p>
    <w:p>
      <w:pPr>
        <w:pStyle w:val="Heading1"/>
      </w:pPr>
      <w:r>
        <w:t>Next step</w:t>
      </w:r>
    </w:p>
    <w:tbl>
      <w:tblPr>
        <w:tblW w:type="dxa" w:w="9865"/>
        <w:jc w:val="left"/>
        <w:tblBorders>
          <w:top w:val="nil"/>
          <w:left w:val="nil"/>
          <w:bottom w:val="nil"/>
          <w:right w:val="nil"/>
          <w:insideH w:val="nil"/>
          <w:insideV w:val="nil"/>
        </w:tblBorders>
        <w:tblLayout w:type="fixed"/>
        <w:tblLook w:firstColumn="1" w:firstRow="1" w:lastColumn="0" w:lastRow="0" w:noHBand="0" w:noVBand="1" w:val="04A0"/>
      </w:tblPr>
      <w:tblGrid>
        <w:gridCol w:w="9865"/>
      </w:tblGrid>
      <w:tr>
        <w:tc>
          <w:tcPr>
            <w:tcW w:type="dxa" w:w="9865"/>
            <w:tcBorders>
              <w:top w:val="single" w:sz="24" w:space="0" w:color="D4A23A"/>
            </w:tcBorders>
            <w:shd w:val="clear" w:color="auto" w:fill="0F2742"/>
            <w:tcMar>
              <w:top w:w="320" w:type="dxa"/>
              <w:left w:w="360" w:type="dxa"/>
              <w:bottom w:w="340" w:type="dxa"/>
              <w:right w:w="360" w:type="dxa"/>
            </w:tcMar>
          </w:tcPr>
          <w:p>
            <w:pPr>
              <w:spacing w:before="0" w:after="120" w:line="240" w:lineRule="auto"/>
            </w:pPr>
            <w:r>
              <w:rPr>
                <w:b/>
                <w:color w:val="FFFFFF"/>
                <w:sz w:val="30"/>
              </w:rPr>
              <w:t>Book a free 30-minute scheme-fit consult</w:t>
            </w:r>
          </w:p>
          <w:p>
            <w:pPr>
              <w:spacing w:before="0" w:after="240" w:line="288" w:lineRule="auto"/>
            </w:pPr>
            <w:r>
              <w:rPr>
                <w:color w:val="E3E9F0"/>
                <w:sz w:val="20"/>
              </w:rPr>
              <w:t>Walk through these results with an EcoEnergy consultant. In 30 minutes we will go over the findings, check which scheme the site fits, and agree which surveys and studies to commission first.</w:t>
            </w:r>
          </w:p>
          <w:p>
            <w:pPr>
              <w:spacing w:before="0" w:after="160" w:line="240" w:lineRule="auto"/>
            </w:pPr>
            <w:hyperlink r:id="rId15" w:history="1">
              <w:r>
                <w:rPr>
                  <w:b/>
                  <w:color w:val="0F2742"/>
                  <w:sz w:val="22"/>
                  <w:u w:val="none"/>
                  <w:shd w:val="clear" w:color="auto" w:fill="D4A23A"/>
                </w:rPr>
                <w:t xml:space="preserve">   Book your consult  »   </w:t>
              </w:r>
            </w:hyperlink>
          </w:p>
          <w:p>
            <w:pPr>
              <w:spacing w:before="0" w:after="0" w:line="240" w:lineRule="auto"/>
            </w:pPr>
            <w:hyperlink r:id="rId15" w:history="1">
              <w:r>
                <w:rPr>
                  <w:color w:val="D4A23A"/>
                  <w:sz w:val="17"/>
                  <w:u w:val="single"/>
                </w:rPr>
                <w:t xml:space="preserve">www.ecoconsultancy.services/consult/</w:t>
              </w:r>
            </w:hyperlink>
          </w:p>
        </w:tc>
      </w:tr>
    </w:tbl>
    <w:p>
      <w:pPr>
        <w:spacing w:before="0" w:after="0" w:line="80" w:lineRule="exact"/>
      </w:pPr>
      <w:r>
        <w:rPr>
          <w:sz w:val="8"/>
        </w:rPr>
      </w:r>
    </w:p>
    <w:sectPr w:rsidR="00FC693F" w:rsidRPr="0006063C" w:rsidSect="00034616">
      <w:headerReference w:type="default" r:id="rId9"/>
      <w:footerReference w:type="default" r:id="rId10"/>
      <w:pgSz w:w="11906" w:h="16838"/>
      <w:pgMar w:top="1247" w:right="1020" w:bottom="1134"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6DCE3"/>
      </w:pBdr>
      <w:spacing w:before="0" w:after="0" w:line="240" w:lineRule="auto"/>
      <w:jc w:val="center"/>
    </w:pPr>
    <w:r>
      <w:rPr>
        <w:color w:val="48586C"/>
        <w:sz w:val="15"/>
      </w:rPr>
      <w:t>Screening grade — not a survey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D4A23A"/>
      </w:pBdr>
      <w:spacing w:before="0" w:after="0" w:line="240" w:lineRule="auto"/>
    </w:pPr>
    <w:r>
      <w:rPr>
        <w:b/>
        <w:color w:val="0F2742"/>
        <w:sz w:val="15"/>
      </w:rPr>
      <w:t>EcoEnergy Consultancy</w:t>
    </w:r>
    <w:r>
      <w:rPr>
        <w:color w:val="48586C"/>
        <w:sz w:val="15"/>
      </w:rPr>
      <w:t xml:space="preserve"> · Desktop Terrain Screening</w:t>
      <w:tab/>
      <w:t xml:space="preserve">Report BEq_flm- · page </w:t>
    </w:r>
    <w:r>
      <w:rPr>
        <w:color w:val="48586C"/>
        <w:sz w:val="15"/>
      </w:rPr>
      <w:fldChar w:fldCharType="begin"/>
    </w:r>
    <w:r>
      <w:rPr>
        <w:color w:val="48586C"/>
        <w:sz w:val="15"/>
      </w:rPr>
      <w:instrText xml:space="preserve"> PAGE </w:instrText>
    </w:r>
    <w:r>
      <w:rPr>
        <w:color w:val="48586C"/>
        <w:sz w:val="15"/>
      </w:rPr>
      <w:fldChar w:fldCharType="separate"/>
    </w:r>
    <w:r>
      <w:rPr>
        <w:color w:val="48586C"/>
        <w:sz w:val="15"/>
      </w:rPr>
      <w:t>1</w:t>
    </w:r>
    <w:r>
      <w:rPr>
        <w:color w:val="48586C"/>
        <w:sz w:val="15"/>
      </w:rPr>
      <w:fldChar w:fldCharType="end"/>
    </w:r>
    <w:r>
      <w:rPr>
        <w:color w:val="48586C"/>
        <w:sz w:val="15"/>
      </w:rPr>
      <w:t xml:space="preserve"> of </w:t>
    </w:r>
    <w:r>
      <w:rPr>
        <w:color w:val="48586C"/>
        <w:sz w:val="15"/>
      </w:rPr>
      <w:fldChar w:fldCharType="begin"/>
    </w:r>
    <w:r>
      <w:rPr>
        <w:color w:val="48586C"/>
        <w:sz w:val="15"/>
      </w:rPr>
      <w:instrText xml:space="preserve"> NUMPAGES </w:instrText>
    </w:r>
    <w:r>
      <w:rPr>
        <w:color w:val="48586C"/>
        <w:sz w:val="15"/>
      </w:rPr>
      <w:fldChar w:fldCharType="separate"/>
    </w:r>
    <w:r>
      <w:rPr>
        <w:color w:val="48586C"/>
        <w:sz w:val="15"/>
      </w:rPr>
      <w:t>1</w:t>
    </w:r>
    <w:r>
      <w:rPr>
        <w:color w:val="48586C"/>
        <w:sz w:val="15"/>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color w:val="12233A"/>
      <w:sz w:val="20"/>
    </w:rPr>
  </w:style>
  <w:style w:type="paragraph" w:styleId="Header">
    <w:name w:val="header"/>
    <w:basedOn w:val="Normal"/>
    <w:link w:val="HeaderChar"/>
    <w:uiPriority w:val="99"/>
    <w:unhideWhenUsed/>
    <w:rsid w:val="00E618BF"/>
    <w:pPr>
      <w:tabs>
        <w:tab w:pos="9865"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865" w:val="right"/>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3" w:color="D4A23A"/>
      </w:pBdr>
      <w:spacing w:before="360" w:after="160"/>
      <w:outlineLvl w:val="0"/>
    </w:pPr>
    <w:rPr>
      <w:rFonts w:ascii="Arial" w:hAnsi="Arial" w:cs="Arial"/>
      <w:b/>
      <w:bCs/>
      <w:i w:val="0"/>
      <w:color w:val="0F2742"/>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Arial" w:hAnsi="Arial" w:cs="Arial"/>
      <w:b/>
      <w:bCs/>
      <w:i w:val="0"/>
      <w:color w:val="0F274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pPr>
    <w:rPr>
      <w:rFonts w:ascii="Arial" w:hAnsi="Arial" w:cs="Arial"/>
      <w:b w:val="0"/>
      <w:bCs/>
      <w:i w:val="0"/>
      <w:color w:val="48586C"/>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ecoconsultancy.services/consult/?utm_source=terrain_tool&amp;utm_medium=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Desktop Terrain Screening — Kota Setar paddy, Lot A</dc:title>
  <dc:subject>Desktop terrain screening report BEq_flm-piWOPpdDonFm2w</dc:subject>
  <dc:creator>EcoEnergy Consultancy</dc:creator>
  <cp:keywords>terrain screening, slope, KPKT, elevation, solar, Malaysia, Kedah, Kota Setar</cp:keywords>
  <dc:description>Screening grade — not a survey</dc:description>
  <cp:lastModifiedBy>EcoEnergy Consultancy</cp:lastModifiedBy>
  <cp:revision>1</cp:revision>
  <dcterms:created xsi:type="dcterms:W3CDTF">2026-10-13T01:36:22Z</dcterms:created>
  <dcterms:modified xsi:type="dcterms:W3CDTF">2026-10-13T01:36:22Z</dcterms:modified>
  <cp:category>Desktop terrain screening</cp:category>
  <dc:identifier>BEq_flm-piWOPpdDonFm2w</dc:identifier>
  <dc:language>en-MY</dc:language>
</cp:coreProperties>
</file>