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67D07" w14:textId="1FF2257C" w:rsidR="003B786B" w:rsidRPr="00E432F6" w:rsidRDefault="003B786B" w:rsidP="005D19D2">
      <w:pPr>
        <w:spacing w:line="360" w:lineRule="auto"/>
        <w:jc w:val="center"/>
        <w:rPr>
          <w:rFonts w:ascii="Times New Roman" w:hAnsi="Times New Roman" w:cs="Times New Roman"/>
          <w:b/>
          <w:bCs/>
          <w:sz w:val="36"/>
          <w:szCs w:val="36"/>
          <w:lang w:val="en-GB"/>
        </w:rPr>
      </w:pPr>
      <w:r w:rsidRPr="00E432F6">
        <w:rPr>
          <w:rFonts w:ascii="Times New Roman" w:hAnsi="Times New Roman" w:cs="Times New Roman"/>
          <w:b/>
          <w:bCs/>
          <w:sz w:val="36"/>
          <w:szCs w:val="36"/>
          <w:lang w:val="en-GB"/>
        </w:rPr>
        <w:t>Cephalosporin Clinical Decision Support System</w:t>
      </w:r>
    </w:p>
    <w:p w14:paraId="3B1BBD5E" w14:textId="568CC128" w:rsidR="00844E96" w:rsidRPr="009F7CED" w:rsidRDefault="00ED2BE8" w:rsidP="005D19D2">
      <w:pPr>
        <w:spacing w:line="360" w:lineRule="auto"/>
        <w:jc w:val="center"/>
        <w:rPr>
          <w:rFonts w:ascii="Times New Roman" w:hAnsi="Times New Roman" w:cs="Times New Roman"/>
          <w:b/>
          <w:bCs/>
          <w:lang w:val="en-GB"/>
        </w:rPr>
      </w:pPr>
      <w:r w:rsidRPr="009F7CED">
        <w:rPr>
          <w:rFonts w:ascii="Times New Roman" w:hAnsi="Times New Roman" w:cs="Times New Roman"/>
          <w:b/>
          <w:bCs/>
          <w:lang w:val="en-GB"/>
        </w:rPr>
        <w:t xml:space="preserve">Hackathon </w:t>
      </w:r>
      <w:proofErr w:type="spellStart"/>
      <w:r w:rsidRPr="009F7CED">
        <w:rPr>
          <w:rFonts w:ascii="Times New Roman" w:hAnsi="Times New Roman" w:cs="Times New Roman"/>
          <w:b/>
          <w:bCs/>
          <w:lang w:val="en-GB"/>
        </w:rPr>
        <w:t>ISoP</w:t>
      </w:r>
      <w:proofErr w:type="spellEnd"/>
      <w:r w:rsidRPr="009F7CED">
        <w:rPr>
          <w:rFonts w:ascii="Times New Roman" w:hAnsi="Times New Roman" w:cs="Times New Roman"/>
          <w:b/>
          <w:bCs/>
          <w:lang w:val="en-GB"/>
        </w:rPr>
        <w:t xml:space="preserve"> - Medication Errors Prevention</w:t>
      </w:r>
      <w:r w:rsidR="00BC12CD" w:rsidRPr="009F7CED">
        <w:rPr>
          <w:rFonts w:ascii="Times New Roman" w:hAnsi="Times New Roman" w:cs="Times New Roman"/>
          <w:b/>
          <w:bCs/>
          <w:lang w:val="en-GB"/>
        </w:rPr>
        <w:t xml:space="preserve"> Project</w:t>
      </w:r>
    </w:p>
    <w:p w14:paraId="73643AB3" w14:textId="77777777" w:rsidR="009F7CED" w:rsidRDefault="009F7CED" w:rsidP="005D19D2">
      <w:pPr>
        <w:spacing w:line="360" w:lineRule="auto"/>
        <w:jc w:val="center"/>
        <w:rPr>
          <w:rFonts w:ascii="Times New Roman" w:hAnsi="Times New Roman" w:cs="Times New Roman"/>
          <w:b/>
          <w:bCs/>
          <w:sz w:val="28"/>
          <w:szCs w:val="28"/>
          <w:lang w:val="en-GB"/>
        </w:rPr>
      </w:pPr>
    </w:p>
    <w:p w14:paraId="5600ED6B" w14:textId="575D07F9" w:rsidR="00C40F61" w:rsidRPr="00515CFA" w:rsidRDefault="00BC12CD" w:rsidP="00515CFA">
      <w:pPr>
        <w:spacing w:line="360" w:lineRule="auto"/>
        <w:rPr>
          <w:rFonts w:ascii="Times New Roman" w:hAnsi="Times New Roman" w:cs="Times New Roman"/>
          <w:lang w:val="en-GB"/>
        </w:rPr>
      </w:pPr>
      <w:r>
        <w:rPr>
          <w:rFonts w:ascii="Times New Roman" w:hAnsi="Times New Roman" w:cs="Times New Roman"/>
          <w:b/>
          <w:bCs/>
          <w:lang w:val="en-GB"/>
        </w:rPr>
        <w:t>Team 5</w:t>
      </w:r>
      <w:r w:rsidR="00515CFA">
        <w:rPr>
          <w:rFonts w:ascii="Times New Roman" w:hAnsi="Times New Roman" w:cs="Times New Roman"/>
          <w:lang w:val="en-GB"/>
        </w:rPr>
        <w:t xml:space="preserve"> </w:t>
      </w:r>
      <w:r w:rsidR="00515CFA">
        <w:rPr>
          <w:rFonts w:ascii="Times New Roman" w:hAnsi="Times New Roman" w:cs="Times New Roman"/>
          <w:b/>
          <w:bCs/>
          <w:lang w:val="en-US"/>
        </w:rPr>
        <w:t>m</w:t>
      </w:r>
      <w:r w:rsidR="00C40F61" w:rsidRPr="00C40F61">
        <w:rPr>
          <w:rFonts w:ascii="Times New Roman" w:hAnsi="Times New Roman" w:cs="Times New Roman"/>
          <w:b/>
          <w:bCs/>
          <w:lang w:val="en-US"/>
        </w:rPr>
        <w:t>embers:</w:t>
      </w:r>
    </w:p>
    <w:p w14:paraId="7CA110E9" w14:textId="1351E3A1" w:rsidR="00C40F61" w:rsidRPr="002E3E72" w:rsidRDefault="00C40F61" w:rsidP="00BC12CD">
      <w:pPr>
        <w:numPr>
          <w:ilvl w:val="0"/>
          <w:numId w:val="1"/>
        </w:numPr>
        <w:spacing w:line="360" w:lineRule="auto"/>
        <w:ind w:hanging="436"/>
        <w:jc w:val="both"/>
        <w:rPr>
          <w:rFonts w:ascii="Times New Roman" w:hAnsi="Times New Roman" w:cs="Times New Roman"/>
        </w:rPr>
      </w:pPr>
      <w:r w:rsidRPr="002E3E72">
        <w:rPr>
          <w:rFonts w:ascii="Times New Roman" w:hAnsi="Times New Roman" w:cs="Times New Roman"/>
        </w:rPr>
        <w:t>Paulina Becerra Vivanco</w:t>
      </w:r>
      <w:r w:rsidR="7D933236" w:rsidRPr="002E3E72">
        <w:rPr>
          <w:rFonts w:ascii="Times New Roman" w:hAnsi="Times New Roman" w:cs="Times New Roman"/>
          <w:vertAlign w:val="superscript"/>
        </w:rPr>
        <w:t>a</w:t>
      </w:r>
      <w:r w:rsidR="00A01635" w:rsidRPr="002E3E72">
        <w:rPr>
          <w:rFonts w:ascii="Times New Roman" w:hAnsi="Times New Roman" w:cs="Times New Roman"/>
        </w:rPr>
        <w:t xml:space="preserve"> </w:t>
      </w:r>
      <w:r w:rsidR="0067594F" w:rsidRPr="002E3E72">
        <w:rPr>
          <w:rFonts w:ascii="Times New Roman" w:hAnsi="Times New Roman" w:cs="Times New Roman"/>
        </w:rPr>
        <w:t>(</w:t>
      </w:r>
      <w:r w:rsidR="00A07337">
        <w:fldChar w:fldCharType="begin"/>
      </w:r>
      <w:r w:rsidR="00A07337">
        <w:instrText>HYPERLINK "mailto:paulina.becerravo@udlap.mx" \h</w:instrText>
      </w:r>
      <w:r w:rsidR="00A07337">
        <w:fldChar w:fldCharType="separate"/>
      </w:r>
      <w:r w:rsidR="00A07337" w:rsidRPr="002E3E72">
        <w:rPr>
          <w:rStyle w:val="Hyperlink"/>
          <w:rFonts w:ascii="Times New Roman" w:hAnsi="Times New Roman" w:cs="Times New Roman"/>
        </w:rPr>
        <w:t>paulina.becerravo@udlap.mx</w:t>
      </w:r>
      <w:r w:rsidR="00A07337">
        <w:fldChar w:fldCharType="end"/>
      </w:r>
      <w:r w:rsidR="00A07337" w:rsidRPr="002E3E72">
        <w:rPr>
          <w:rFonts w:ascii="Times New Roman" w:hAnsi="Times New Roman" w:cs="Times New Roman"/>
        </w:rPr>
        <w:t xml:space="preserve">) </w:t>
      </w:r>
      <w:r w:rsidR="00A01635" w:rsidRPr="002E3E72">
        <w:rPr>
          <w:rFonts w:ascii="Times New Roman" w:hAnsi="Times New Roman" w:cs="Times New Roman"/>
        </w:rPr>
        <w:t xml:space="preserve">- </w:t>
      </w:r>
      <w:r w:rsidR="00A01635" w:rsidRPr="002E3E72">
        <w:rPr>
          <w:rFonts w:ascii="Times New Roman" w:hAnsi="Times New Roman" w:cs="Times New Roman"/>
          <w:i/>
        </w:rPr>
        <w:t>T</w:t>
      </w:r>
      <w:r w:rsidRPr="002E3E72">
        <w:rPr>
          <w:rFonts w:ascii="Times New Roman" w:hAnsi="Times New Roman" w:cs="Times New Roman"/>
          <w:i/>
        </w:rPr>
        <w:t>eam leader</w:t>
      </w:r>
    </w:p>
    <w:p w14:paraId="4A12C231" w14:textId="391F3E7C" w:rsidR="00C40F61" w:rsidRPr="00C40F61" w:rsidRDefault="00C40F61" w:rsidP="00BC12CD">
      <w:pPr>
        <w:numPr>
          <w:ilvl w:val="0"/>
          <w:numId w:val="1"/>
        </w:numPr>
        <w:spacing w:line="360" w:lineRule="auto"/>
        <w:ind w:hanging="436"/>
        <w:jc w:val="both"/>
        <w:rPr>
          <w:rFonts w:ascii="Times New Roman" w:hAnsi="Times New Roman" w:cs="Times New Roman"/>
          <w:vertAlign w:val="superscript"/>
        </w:rPr>
      </w:pPr>
      <w:r w:rsidRPr="00C40F61">
        <w:rPr>
          <w:rFonts w:ascii="Times New Roman" w:hAnsi="Times New Roman" w:cs="Times New Roman"/>
        </w:rPr>
        <w:t xml:space="preserve">Nuria Arroyo </w:t>
      </w:r>
      <w:r w:rsidRPr="139FDA2F">
        <w:rPr>
          <w:rFonts w:ascii="Times New Roman" w:hAnsi="Times New Roman" w:cs="Times New Roman"/>
        </w:rPr>
        <w:t>Bustamante</w:t>
      </w:r>
      <w:r w:rsidR="0780EE12" w:rsidRPr="139FDA2F">
        <w:rPr>
          <w:rFonts w:ascii="Times New Roman" w:hAnsi="Times New Roman" w:cs="Times New Roman"/>
          <w:vertAlign w:val="superscript"/>
        </w:rPr>
        <w:t>b</w:t>
      </w:r>
    </w:p>
    <w:p w14:paraId="4CB09BE8" w14:textId="036F48A3" w:rsidR="00C40F61" w:rsidRPr="00C40F61" w:rsidRDefault="00C40F61" w:rsidP="00BC12CD">
      <w:pPr>
        <w:numPr>
          <w:ilvl w:val="0"/>
          <w:numId w:val="1"/>
        </w:numPr>
        <w:spacing w:line="360" w:lineRule="auto"/>
        <w:ind w:hanging="436"/>
        <w:jc w:val="both"/>
        <w:rPr>
          <w:rFonts w:ascii="Times New Roman" w:hAnsi="Times New Roman" w:cs="Times New Roman"/>
          <w:vertAlign w:val="superscript"/>
        </w:rPr>
      </w:pPr>
      <w:r w:rsidRPr="00C40F61">
        <w:rPr>
          <w:rFonts w:ascii="Times New Roman" w:hAnsi="Times New Roman" w:cs="Times New Roman"/>
        </w:rPr>
        <w:t xml:space="preserve">José Ángel Palomares </w:t>
      </w:r>
      <w:r w:rsidRPr="49530BF4">
        <w:rPr>
          <w:rFonts w:ascii="Times New Roman" w:hAnsi="Times New Roman" w:cs="Times New Roman"/>
        </w:rPr>
        <w:t>Velázquez</w:t>
      </w:r>
      <w:r w:rsidR="5294EB9D" w:rsidRPr="49530BF4">
        <w:rPr>
          <w:rFonts w:ascii="Times New Roman" w:hAnsi="Times New Roman" w:cs="Times New Roman"/>
          <w:vertAlign w:val="superscript"/>
        </w:rPr>
        <w:t>b</w:t>
      </w:r>
    </w:p>
    <w:p w14:paraId="2E59DF69" w14:textId="08454D00" w:rsidR="00C40F61" w:rsidRPr="00C40F61" w:rsidRDefault="00C40F61" w:rsidP="00BC12CD">
      <w:pPr>
        <w:numPr>
          <w:ilvl w:val="0"/>
          <w:numId w:val="1"/>
        </w:numPr>
        <w:spacing w:line="360" w:lineRule="auto"/>
        <w:ind w:hanging="436"/>
        <w:jc w:val="both"/>
        <w:rPr>
          <w:rFonts w:ascii="Times New Roman" w:hAnsi="Times New Roman" w:cs="Times New Roman"/>
          <w:vertAlign w:val="superscript"/>
        </w:rPr>
      </w:pPr>
      <w:r w:rsidRPr="00C40F61">
        <w:rPr>
          <w:rFonts w:ascii="Times New Roman" w:hAnsi="Times New Roman" w:cs="Times New Roman"/>
        </w:rPr>
        <w:t xml:space="preserve">Heriberto Espino </w:t>
      </w:r>
      <w:r w:rsidRPr="49530BF4">
        <w:rPr>
          <w:rFonts w:ascii="Times New Roman" w:hAnsi="Times New Roman" w:cs="Times New Roman"/>
        </w:rPr>
        <w:t>Montelongo</w:t>
      </w:r>
      <w:r w:rsidR="54CF2C43" w:rsidRPr="49530BF4">
        <w:rPr>
          <w:rFonts w:ascii="Times New Roman" w:hAnsi="Times New Roman" w:cs="Times New Roman"/>
          <w:vertAlign w:val="superscript"/>
        </w:rPr>
        <w:t>b</w:t>
      </w:r>
    </w:p>
    <w:p w14:paraId="48DC879A" w14:textId="475E687E" w:rsidR="00C40F61" w:rsidRPr="00C40F61" w:rsidRDefault="00C40F61" w:rsidP="00BC12CD">
      <w:pPr>
        <w:numPr>
          <w:ilvl w:val="0"/>
          <w:numId w:val="1"/>
        </w:numPr>
        <w:spacing w:line="360" w:lineRule="auto"/>
        <w:ind w:hanging="436"/>
        <w:jc w:val="both"/>
        <w:rPr>
          <w:rFonts w:ascii="Times New Roman" w:hAnsi="Times New Roman" w:cs="Times New Roman"/>
          <w:vertAlign w:val="superscript"/>
        </w:rPr>
      </w:pPr>
      <w:r w:rsidRPr="00C40F61">
        <w:rPr>
          <w:rFonts w:ascii="Times New Roman" w:hAnsi="Times New Roman" w:cs="Times New Roman"/>
        </w:rPr>
        <w:t xml:space="preserve">Juan Alonso Martínez </w:t>
      </w:r>
      <w:r w:rsidRPr="49530BF4">
        <w:rPr>
          <w:rFonts w:ascii="Times New Roman" w:hAnsi="Times New Roman" w:cs="Times New Roman"/>
        </w:rPr>
        <w:t>Thomas</w:t>
      </w:r>
      <w:r w:rsidR="327CE60B" w:rsidRPr="49530BF4">
        <w:rPr>
          <w:rFonts w:ascii="Times New Roman" w:hAnsi="Times New Roman" w:cs="Times New Roman"/>
          <w:vertAlign w:val="superscript"/>
        </w:rPr>
        <w:t>c</w:t>
      </w:r>
    </w:p>
    <w:p w14:paraId="4F4AEB39" w14:textId="69A2B250" w:rsidR="00C40F61" w:rsidRPr="00C40F61" w:rsidRDefault="00C40F61" w:rsidP="00BC12CD">
      <w:pPr>
        <w:numPr>
          <w:ilvl w:val="0"/>
          <w:numId w:val="1"/>
        </w:numPr>
        <w:spacing w:line="360" w:lineRule="auto"/>
        <w:ind w:hanging="436"/>
        <w:jc w:val="both"/>
        <w:rPr>
          <w:rFonts w:ascii="Times New Roman" w:hAnsi="Times New Roman" w:cs="Times New Roman"/>
        </w:rPr>
      </w:pPr>
      <w:r w:rsidRPr="00C40F61">
        <w:rPr>
          <w:rFonts w:ascii="Times New Roman" w:hAnsi="Times New Roman" w:cs="Times New Roman"/>
        </w:rPr>
        <w:t xml:space="preserve">Roberto Rosas </w:t>
      </w:r>
      <w:r w:rsidRPr="49530BF4">
        <w:rPr>
          <w:rFonts w:ascii="Times New Roman" w:hAnsi="Times New Roman" w:cs="Times New Roman"/>
        </w:rPr>
        <w:t>Romero</w:t>
      </w:r>
      <w:r w:rsidR="512B1F16" w:rsidRPr="49530BF4">
        <w:rPr>
          <w:rFonts w:ascii="Times New Roman" w:hAnsi="Times New Roman" w:cs="Times New Roman"/>
          <w:vertAlign w:val="superscript"/>
        </w:rPr>
        <w:t>d</w:t>
      </w:r>
      <w:r w:rsidR="00A01635">
        <w:rPr>
          <w:rFonts w:ascii="Times New Roman" w:hAnsi="Times New Roman" w:cs="Times New Roman"/>
        </w:rPr>
        <w:t xml:space="preserve"> - </w:t>
      </w:r>
      <w:r w:rsidR="00A01635" w:rsidRPr="00A01635">
        <w:rPr>
          <w:rFonts w:ascii="Times New Roman" w:hAnsi="Times New Roman" w:cs="Times New Roman"/>
          <w:i/>
          <w:iCs/>
        </w:rPr>
        <w:t>T</w:t>
      </w:r>
      <w:r w:rsidRPr="00A01635">
        <w:rPr>
          <w:rFonts w:ascii="Times New Roman" w:hAnsi="Times New Roman" w:cs="Times New Roman"/>
          <w:i/>
          <w:iCs/>
        </w:rPr>
        <w:t>eam advisor</w:t>
      </w:r>
    </w:p>
    <w:p w14:paraId="082EC01A" w14:textId="5CCC1A29" w:rsidR="00C40F61" w:rsidRPr="00A01635" w:rsidRDefault="00C40F61" w:rsidP="00BC12CD">
      <w:pPr>
        <w:numPr>
          <w:ilvl w:val="0"/>
          <w:numId w:val="1"/>
        </w:numPr>
        <w:spacing w:line="360" w:lineRule="auto"/>
        <w:ind w:hanging="436"/>
        <w:jc w:val="both"/>
        <w:rPr>
          <w:rFonts w:ascii="Times New Roman" w:hAnsi="Times New Roman" w:cs="Times New Roman"/>
          <w:i/>
          <w:iCs/>
        </w:rPr>
      </w:pPr>
      <w:r w:rsidRPr="49530BF4">
        <w:rPr>
          <w:rFonts w:ascii="Times New Roman" w:hAnsi="Times New Roman" w:cs="Times New Roman"/>
        </w:rPr>
        <w:t xml:space="preserve">Lucila Isabel Castro </w:t>
      </w:r>
      <w:proofErr w:type="spellStart"/>
      <w:r w:rsidRPr="49530BF4">
        <w:rPr>
          <w:rFonts w:ascii="Times New Roman" w:hAnsi="Times New Roman" w:cs="Times New Roman"/>
        </w:rPr>
        <w:t>Pastrana</w:t>
      </w:r>
      <w:r w:rsidR="4276B1EB" w:rsidRPr="49530BF4">
        <w:rPr>
          <w:rFonts w:ascii="Times New Roman" w:hAnsi="Times New Roman" w:cs="Times New Roman"/>
          <w:vertAlign w:val="superscript"/>
        </w:rPr>
        <w:t>c</w:t>
      </w:r>
      <w:proofErr w:type="spellEnd"/>
      <w:r w:rsidR="00A07337" w:rsidRPr="49530BF4">
        <w:rPr>
          <w:rFonts w:ascii="Times New Roman" w:hAnsi="Times New Roman" w:cs="Times New Roman"/>
        </w:rPr>
        <w:t xml:space="preserve"> (</w:t>
      </w:r>
      <w:hyperlink r:id="rId7">
        <w:r w:rsidR="008A3F5E" w:rsidRPr="49530BF4">
          <w:rPr>
            <w:rStyle w:val="Hyperlink"/>
            <w:rFonts w:ascii="Times New Roman" w:hAnsi="Times New Roman" w:cs="Times New Roman"/>
          </w:rPr>
          <w:t>lucila.castro@udlap.mx</w:t>
        </w:r>
      </w:hyperlink>
      <w:r w:rsidR="008A3F5E" w:rsidRPr="49530BF4">
        <w:rPr>
          <w:rFonts w:ascii="Times New Roman" w:hAnsi="Times New Roman" w:cs="Times New Roman"/>
        </w:rPr>
        <w:t xml:space="preserve">) </w:t>
      </w:r>
      <w:r w:rsidR="00A01635" w:rsidRPr="49530BF4">
        <w:rPr>
          <w:rFonts w:ascii="Times New Roman" w:hAnsi="Times New Roman" w:cs="Times New Roman"/>
        </w:rPr>
        <w:t xml:space="preserve"> - </w:t>
      </w:r>
      <w:proofErr w:type="spellStart"/>
      <w:r w:rsidR="00A01635" w:rsidRPr="49530BF4">
        <w:rPr>
          <w:rFonts w:ascii="Times New Roman" w:hAnsi="Times New Roman" w:cs="Times New Roman"/>
          <w:i/>
          <w:iCs/>
        </w:rPr>
        <w:t>T</w:t>
      </w:r>
      <w:r w:rsidRPr="49530BF4">
        <w:rPr>
          <w:rFonts w:ascii="Times New Roman" w:hAnsi="Times New Roman" w:cs="Times New Roman"/>
          <w:i/>
          <w:iCs/>
        </w:rPr>
        <w:t>eam</w:t>
      </w:r>
      <w:proofErr w:type="spellEnd"/>
      <w:r w:rsidRPr="49530BF4">
        <w:rPr>
          <w:rFonts w:ascii="Times New Roman" w:hAnsi="Times New Roman" w:cs="Times New Roman"/>
          <w:i/>
          <w:iCs/>
        </w:rPr>
        <w:t xml:space="preserve"> </w:t>
      </w:r>
      <w:proofErr w:type="spellStart"/>
      <w:r w:rsidRPr="49530BF4">
        <w:rPr>
          <w:rFonts w:ascii="Times New Roman" w:hAnsi="Times New Roman" w:cs="Times New Roman"/>
          <w:i/>
          <w:iCs/>
        </w:rPr>
        <w:t>advisor</w:t>
      </w:r>
      <w:proofErr w:type="spellEnd"/>
    </w:p>
    <w:p w14:paraId="1ABA5BFF" w14:textId="3737E886" w:rsidR="52F7A526" w:rsidRDefault="52F7A526" w:rsidP="52F7A526">
      <w:pPr>
        <w:spacing w:line="360" w:lineRule="auto"/>
        <w:jc w:val="both"/>
        <w:rPr>
          <w:rFonts w:ascii="Times New Roman" w:eastAsia="Times New Roman" w:hAnsi="Times New Roman" w:cs="Times New Roman"/>
          <w:b/>
          <w:lang w:val="en-GB"/>
        </w:rPr>
      </w:pPr>
    </w:p>
    <w:p w14:paraId="27F86DF0" w14:textId="6C8609E3" w:rsidR="00C40F61" w:rsidRDefault="50264806" w:rsidP="22284CDE">
      <w:pPr>
        <w:spacing w:line="360" w:lineRule="auto"/>
        <w:jc w:val="both"/>
        <w:rPr>
          <w:rFonts w:ascii="Times New Roman" w:eastAsia="Times New Roman" w:hAnsi="Times New Roman" w:cs="Times New Roman"/>
          <w:b/>
          <w:lang w:val="en-GB"/>
        </w:rPr>
      </w:pPr>
      <w:r w:rsidRPr="2F187824">
        <w:rPr>
          <w:rFonts w:ascii="Times New Roman" w:eastAsia="Times New Roman" w:hAnsi="Times New Roman" w:cs="Times New Roman"/>
          <w:b/>
          <w:lang w:val="en-GB"/>
        </w:rPr>
        <w:t xml:space="preserve">Disciplines of </w:t>
      </w:r>
      <w:r w:rsidRPr="580F0724">
        <w:rPr>
          <w:rFonts w:ascii="Times New Roman" w:eastAsia="Times New Roman" w:hAnsi="Times New Roman" w:cs="Times New Roman"/>
          <w:b/>
          <w:bCs/>
          <w:lang w:val="en-GB"/>
        </w:rPr>
        <w:t>the team</w:t>
      </w:r>
      <w:r w:rsidRPr="2F187824">
        <w:rPr>
          <w:rFonts w:ascii="Times New Roman" w:eastAsia="Times New Roman" w:hAnsi="Times New Roman" w:cs="Times New Roman"/>
          <w:b/>
          <w:lang w:val="en-GB"/>
        </w:rPr>
        <w:t xml:space="preserve"> members:</w:t>
      </w:r>
    </w:p>
    <w:p w14:paraId="5337950A" w14:textId="72CAEE68" w:rsidR="50264806" w:rsidRDefault="50264806" w:rsidP="52F7A526">
      <w:pPr>
        <w:spacing w:line="360" w:lineRule="auto"/>
        <w:jc w:val="both"/>
        <w:rPr>
          <w:rFonts w:ascii="Times New Roman" w:eastAsia="Times New Roman" w:hAnsi="Times New Roman" w:cs="Times New Roman"/>
        </w:rPr>
      </w:pPr>
      <w:r w:rsidRPr="2F187824">
        <w:rPr>
          <w:rFonts w:ascii="Times New Roman" w:eastAsia="Times New Roman" w:hAnsi="Times New Roman" w:cs="Times New Roman"/>
          <w:vertAlign w:val="superscript"/>
        </w:rPr>
        <w:t>a</w:t>
      </w:r>
      <w:r w:rsidRPr="2F187824">
        <w:rPr>
          <w:rFonts w:ascii="Times New Roman" w:eastAsia="Times New Roman" w:hAnsi="Times New Roman" w:cs="Times New Roman"/>
        </w:rPr>
        <w:t xml:space="preserve">Biomedical Engineering </w:t>
      </w:r>
    </w:p>
    <w:p w14:paraId="69BA0AD8" w14:textId="56541A0B" w:rsidR="50264806" w:rsidRDefault="50264806" w:rsidP="625BFABB">
      <w:pPr>
        <w:spacing w:line="360" w:lineRule="auto"/>
        <w:jc w:val="both"/>
        <w:rPr>
          <w:rFonts w:ascii="Times New Roman" w:eastAsia="Times New Roman" w:hAnsi="Times New Roman" w:cs="Times New Roman"/>
        </w:rPr>
      </w:pPr>
      <w:r w:rsidRPr="2F187824">
        <w:rPr>
          <w:rFonts w:ascii="Times New Roman" w:eastAsia="Times New Roman" w:hAnsi="Times New Roman" w:cs="Times New Roman"/>
          <w:vertAlign w:val="superscript"/>
        </w:rPr>
        <w:t>b</w:t>
      </w:r>
      <w:r w:rsidRPr="2F187824">
        <w:rPr>
          <w:rFonts w:ascii="Times New Roman" w:eastAsia="Times New Roman" w:hAnsi="Times New Roman" w:cs="Times New Roman"/>
        </w:rPr>
        <w:t>Data Science / Actuarial Sciences</w:t>
      </w:r>
    </w:p>
    <w:p w14:paraId="636261A4" w14:textId="21056FA7" w:rsidR="50264806" w:rsidRDefault="50264806" w:rsidP="6881112C">
      <w:pPr>
        <w:spacing w:line="360" w:lineRule="auto"/>
        <w:jc w:val="both"/>
        <w:rPr>
          <w:rFonts w:ascii="Times New Roman" w:eastAsia="Times New Roman" w:hAnsi="Times New Roman" w:cs="Times New Roman"/>
        </w:rPr>
      </w:pPr>
      <w:r w:rsidRPr="2F187824">
        <w:rPr>
          <w:rFonts w:ascii="Times New Roman" w:eastAsia="Times New Roman" w:hAnsi="Times New Roman" w:cs="Times New Roman"/>
          <w:vertAlign w:val="superscript"/>
        </w:rPr>
        <w:t>c</w:t>
      </w:r>
      <w:r w:rsidRPr="2F187824">
        <w:rPr>
          <w:rFonts w:ascii="Times New Roman" w:eastAsia="Times New Roman" w:hAnsi="Times New Roman" w:cs="Times New Roman"/>
        </w:rPr>
        <w:t>Chemical, pharmaceutical and biological Science</w:t>
      </w:r>
    </w:p>
    <w:p w14:paraId="7019A4FE" w14:textId="0DBC6A6B" w:rsidR="66BB7FB9" w:rsidRDefault="50264806" w:rsidP="66BB7FB9">
      <w:pPr>
        <w:spacing w:line="360" w:lineRule="auto"/>
        <w:jc w:val="both"/>
        <w:rPr>
          <w:rFonts w:ascii="Times New Roman" w:eastAsia="Times New Roman" w:hAnsi="Times New Roman" w:cs="Times New Roman"/>
        </w:rPr>
      </w:pPr>
      <w:r w:rsidRPr="2F187824">
        <w:rPr>
          <w:rFonts w:ascii="Times New Roman" w:eastAsia="Times New Roman" w:hAnsi="Times New Roman" w:cs="Times New Roman"/>
          <w:vertAlign w:val="superscript"/>
        </w:rPr>
        <w:t>d</w:t>
      </w:r>
      <w:r w:rsidRPr="2F187824">
        <w:rPr>
          <w:rFonts w:ascii="Times New Roman" w:eastAsia="Times New Roman" w:hAnsi="Times New Roman" w:cs="Times New Roman"/>
        </w:rPr>
        <w:t>Computational Science</w:t>
      </w:r>
    </w:p>
    <w:p w14:paraId="79603321" w14:textId="362EADB4" w:rsidR="52F7A526" w:rsidRDefault="52F7A526" w:rsidP="52F7A526">
      <w:pPr>
        <w:spacing w:line="360" w:lineRule="auto"/>
        <w:jc w:val="both"/>
        <w:rPr>
          <w:rFonts w:ascii="Times New Roman" w:eastAsia="Times New Roman" w:hAnsi="Times New Roman" w:cs="Times New Roman"/>
        </w:rPr>
      </w:pPr>
    </w:p>
    <w:p w14:paraId="723F0F89" w14:textId="7041DD0F" w:rsidR="00044B64" w:rsidRDefault="00044B64" w:rsidP="005D19D2">
      <w:pPr>
        <w:spacing w:line="360" w:lineRule="auto"/>
        <w:jc w:val="both"/>
        <w:rPr>
          <w:rFonts w:ascii="Times New Roman" w:hAnsi="Times New Roman" w:cs="Times New Roman"/>
          <w:lang w:val="en-GB"/>
        </w:rPr>
      </w:pPr>
      <w:r>
        <w:rPr>
          <w:rFonts w:ascii="Times New Roman" w:hAnsi="Times New Roman" w:cs="Times New Roman"/>
          <w:b/>
          <w:bCs/>
          <w:lang w:val="en-GB"/>
        </w:rPr>
        <w:t>Topics</w:t>
      </w:r>
    </w:p>
    <w:p w14:paraId="25BC074F" w14:textId="37C78B82" w:rsidR="000B1EA7" w:rsidRDefault="000B1EA7" w:rsidP="00A01635">
      <w:pPr>
        <w:pStyle w:val="ListParagraph"/>
        <w:numPr>
          <w:ilvl w:val="0"/>
          <w:numId w:val="4"/>
        </w:numPr>
        <w:spacing w:line="360" w:lineRule="auto"/>
        <w:ind w:hanging="294"/>
        <w:jc w:val="both"/>
        <w:rPr>
          <w:rFonts w:ascii="Times New Roman" w:hAnsi="Times New Roman" w:cs="Times New Roman"/>
          <w:lang w:val="en-GB"/>
        </w:rPr>
      </w:pPr>
      <w:r w:rsidRPr="000B1EA7">
        <w:rPr>
          <w:rFonts w:ascii="Times New Roman" w:hAnsi="Times New Roman" w:cs="Times New Roman"/>
          <w:lang w:val="en-GB"/>
        </w:rPr>
        <w:t>Prevention of high alert M</w:t>
      </w:r>
      <w:r w:rsidR="00A01635">
        <w:rPr>
          <w:rFonts w:ascii="Times New Roman" w:hAnsi="Times New Roman" w:cs="Times New Roman"/>
          <w:lang w:val="en-GB"/>
        </w:rPr>
        <w:t xml:space="preserve">edication </w:t>
      </w:r>
      <w:r w:rsidRPr="000B1EA7">
        <w:rPr>
          <w:rFonts w:ascii="Times New Roman" w:hAnsi="Times New Roman" w:cs="Times New Roman"/>
          <w:lang w:val="en-GB"/>
        </w:rPr>
        <w:t>E</w:t>
      </w:r>
      <w:r w:rsidR="00A01635">
        <w:rPr>
          <w:rFonts w:ascii="Times New Roman" w:hAnsi="Times New Roman" w:cs="Times New Roman"/>
          <w:lang w:val="en-GB"/>
        </w:rPr>
        <w:t xml:space="preserve">rrors </w:t>
      </w:r>
      <w:r w:rsidRPr="000B1EA7">
        <w:rPr>
          <w:rFonts w:ascii="Times New Roman" w:hAnsi="Times New Roman" w:cs="Times New Roman"/>
          <w:lang w:val="en-GB"/>
        </w:rPr>
        <w:t>/</w:t>
      </w:r>
      <w:r w:rsidR="00A01635">
        <w:rPr>
          <w:rFonts w:ascii="Times New Roman" w:hAnsi="Times New Roman" w:cs="Times New Roman"/>
          <w:lang w:val="en-GB"/>
        </w:rPr>
        <w:t xml:space="preserve"> </w:t>
      </w:r>
      <w:r w:rsidRPr="000B1EA7">
        <w:rPr>
          <w:rFonts w:ascii="Times New Roman" w:hAnsi="Times New Roman" w:cs="Times New Roman"/>
          <w:lang w:val="en-GB"/>
        </w:rPr>
        <w:t>Special populations: elderly, pregnant</w:t>
      </w:r>
      <w:r>
        <w:rPr>
          <w:rFonts w:ascii="Times New Roman" w:hAnsi="Times New Roman" w:cs="Times New Roman"/>
          <w:lang w:val="en-GB"/>
        </w:rPr>
        <w:t xml:space="preserve"> and </w:t>
      </w:r>
      <w:r w:rsidRPr="000B1EA7">
        <w:rPr>
          <w:rFonts w:ascii="Times New Roman" w:hAnsi="Times New Roman" w:cs="Times New Roman"/>
          <w:lang w:val="en-GB"/>
        </w:rPr>
        <w:t>children</w:t>
      </w:r>
    </w:p>
    <w:p w14:paraId="57FB2514" w14:textId="1CEDA9D3" w:rsidR="00044B64" w:rsidRPr="00044B64" w:rsidRDefault="000B1EA7" w:rsidP="00A01635">
      <w:pPr>
        <w:pStyle w:val="ListParagraph"/>
        <w:numPr>
          <w:ilvl w:val="0"/>
          <w:numId w:val="4"/>
        </w:numPr>
        <w:spacing w:line="360" w:lineRule="auto"/>
        <w:ind w:hanging="294"/>
        <w:jc w:val="both"/>
        <w:rPr>
          <w:rFonts w:ascii="Times New Roman" w:hAnsi="Times New Roman" w:cs="Times New Roman"/>
          <w:lang w:val="en-GB"/>
        </w:rPr>
      </w:pPr>
      <w:r w:rsidRPr="000B1EA7">
        <w:rPr>
          <w:rFonts w:ascii="Times New Roman" w:hAnsi="Times New Roman" w:cs="Times New Roman"/>
          <w:lang w:val="en-GB"/>
        </w:rPr>
        <w:t>Safe use of medication in hospitals</w:t>
      </w:r>
      <w:r w:rsidR="00831692">
        <w:rPr>
          <w:rFonts w:ascii="Times New Roman" w:hAnsi="Times New Roman" w:cs="Times New Roman"/>
          <w:lang w:val="en-GB"/>
        </w:rPr>
        <w:t xml:space="preserve"> </w:t>
      </w:r>
      <w:r w:rsidRPr="000B1EA7">
        <w:rPr>
          <w:rFonts w:ascii="Times New Roman" w:hAnsi="Times New Roman" w:cs="Times New Roman"/>
          <w:lang w:val="en-GB"/>
        </w:rPr>
        <w:t>/</w:t>
      </w:r>
      <w:r w:rsidR="00831692">
        <w:rPr>
          <w:rFonts w:ascii="Times New Roman" w:hAnsi="Times New Roman" w:cs="Times New Roman"/>
          <w:lang w:val="en-GB"/>
        </w:rPr>
        <w:t xml:space="preserve"> </w:t>
      </w:r>
      <w:r w:rsidRPr="000B1EA7">
        <w:rPr>
          <w:rFonts w:ascii="Times New Roman" w:hAnsi="Times New Roman" w:cs="Times New Roman"/>
          <w:lang w:val="en-GB"/>
        </w:rPr>
        <w:t>Healthcare professionals support</w:t>
      </w:r>
    </w:p>
    <w:p w14:paraId="61C0E27B" w14:textId="77777777" w:rsidR="00044B64" w:rsidRDefault="00044B64" w:rsidP="005D19D2">
      <w:pPr>
        <w:spacing w:line="360" w:lineRule="auto"/>
        <w:jc w:val="both"/>
        <w:rPr>
          <w:rFonts w:ascii="Times New Roman" w:hAnsi="Times New Roman" w:cs="Times New Roman"/>
          <w:b/>
          <w:bCs/>
          <w:lang w:val="en-GB"/>
        </w:rPr>
      </w:pPr>
    </w:p>
    <w:p w14:paraId="34B4F200" w14:textId="77777777" w:rsidR="00922E90" w:rsidRDefault="00922E90" w:rsidP="005D19D2">
      <w:pPr>
        <w:spacing w:line="360" w:lineRule="auto"/>
        <w:jc w:val="both"/>
        <w:rPr>
          <w:rFonts w:ascii="Times New Roman" w:hAnsi="Times New Roman" w:cs="Times New Roman"/>
          <w:b/>
          <w:bCs/>
          <w:lang w:val="en-GB"/>
        </w:rPr>
      </w:pPr>
      <w:r>
        <w:rPr>
          <w:rFonts w:ascii="Times New Roman" w:hAnsi="Times New Roman" w:cs="Times New Roman"/>
          <w:b/>
          <w:bCs/>
          <w:lang w:val="en-GB"/>
        </w:rPr>
        <w:t>Background</w:t>
      </w:r>
    </w:p>
    <w:p w14:paraId="1CB4AB7D" w14:textId="3C1E7E2C" w:rsidR="00922E90" w:rsidRDefault="00922E90" w:rsidP="005D19D2">
      <w:pPr>
        <w:pStyle w:val="NormalWeb"/>
        <w:spacing w:before="0" w:beforeAutospacing="0" w:after="0" w:afterAutospacing="0" w:line="360" w:lineRule="auto"/>
        <w:jc w:val="both"/>
      </w:pPr>
      <w:r>
        <w:t xml:space="preserve">According to Global Antimicrobial Use (AMU) Data, cephalosporins constituted approximately 7% of global antibiotic consumption in 2023. This usage figure increases to 8% within low- and middle-income countries, which translates to 1.2 daily doses of cephalosporins prescribed per 1,000 inhabitants. Regarding the specific classes of cephalosporins usually consumed, statistics indicate a prescribing preference for third-generation agents, such as cefotaxime or cefixime </w:t>
      </w:r>
      <w:r>
        <w:fldChar w:fldCharType="begin"/>
      </w:r>
      <w:r w:rsidR="000C6892">
        <w:instrText xml:space="preserve"> ADDIN ZOTERO_ITEM CSL_CITATION {"citationID":"6rRQMQiU","properties":{"formattedCitation":"(1)","plainCitation":"(1)","noteIndex":0},"citationItems":[{"id":211,"uris":["http://zotero.org/users/10068576/items/9BJAHC43"],"itemData":{"id":211,"type":"dataset","abstract":"This dashboard presents national data on antimicrobial use (AMU) - previously referred to as antimicrobial consumption (AMC) - for the years 2016 to 2023, as reported to GLASS by participating Countries, Territories, and Areas (CTAs) by December 2024.\n\nThe dashboard provides, for each year, an overview of CTA participation along with key characteristics of the data. It then offers a summary of national AMU, beginning with total use across antimicrobial classes. The focus then narrows to antibiotic use, broken down by WHO AWaRe classification, by antibiotic subclass at the ATC3 level, and by route of administration. For each antimicrobial class, users can also consult data on use at the ATC4 level. AMU data are presented in several formats: by year as CTA distributions and by CTA, and as time series for up to five selected countries. Filters are available to display the data by WHO region and income level. Users can download individual images and the underlying data by clicking on \"Download image\" and \"Download data\" in each section.\n\nThe full GLASS-AMU dataset can be also downloaded from the \"Download GLASS-AMU dataset\" button in the top right corner of the page. The dataset includes national annual contextual information, annual AMU data reported by each CTA aggregated at the ATC4 level by route of administration for all antimicrobial classes, and antibiotic use aggregated by WHO AWaRe classification.","title":"Global AMU data","URL":"https://worldhealthorg.shinyapps.io/glass-dashboard/_w_80d1a76db0ca42a1aa9d0d8068351ffc/#!/amu","author":[{"literal":"World Health Organization"}],"accessed":{"date-parts":[["2025",11,9]]},"issued":{"date-parts":[["2023"]]}}}],"schema":"https://github.com/citation-style-language/schema/raw/master/csl-citation.json"} </w:instrText>
      </w:r>
      <w:r>
        <w:fldChar w:fldCharType="separate"/>
      </w:r>
      <w:r w:rsidR="000C6892">
        <w:rPr>
          <w:noProof/>
        </w:rPr>
        <w:t>(1)</w:t>
      </w:r>
      <w:r>
        <w:fldChar w:fldCharType="end"/>
      </w:r>
      <w:r>
        <w:t>.</w:t>
      </w:r>
    </w:p>
    <w:p w14:paraId="5A23AACF" w14:textId="0A8377C9" w:rsidR="00922E90" w:rsidRDefault="00922E90" w:rsidP="00A01635">
      <w:pPr>
        <w:pStyle w:val="NormalWeb"/>
        <w:spacing w:before="0" w:beforeAutospacing="0" w:after="0" w:afterAutospacing="0" w:line="360" w:lineRule="auto"/>
        <w:ind w:firstLine="708"/>
        <w:jc w:val="both"/>
      </w:pPr>
      <w:r>
        <w:lastRenderedPageBreak/>
        <w:t xml:space="preserve">In this context, as reported by </w:t>
      </w:r>
      <w:r w:rsidRPr="00C020F2">
        <w:t xml:space="preserve">Klein </w:t>
      </w:r>
      <w:r w:rsidRPr="00AB6138">
        <w:rPr>
          <w:i/>
          <w:iCs/>
        </w:rPr>
        <w:t>et al</w:t>
      </w:r>
      <w:r w:rsidRPr="00C020F2">
        <w:t>.</w:t>
      </w:r>
      <w:r>
        <w:t xml:space="preserve"> (</w:t>
      </w:r>
      <w:r w:rsidRPr="00C020F2">
        <w:t>2024)</w:t>
      </w:r>
      <w:r>
        <w:t xml:space="preserve">, the consumption of cephalosporins in low- and middle-income countries doubled between 2016 and 2023 </w:t>
      </w:r>
      <w:r>
        <w:fldChar w:fldCharType="begin"/>
      </w:r>
      <w:r w:rsidR="000C6892">
        <w:instrText xml:space="preserve"> ADDIN ZOTERO_ITEM CSL_CITATION {"citationID":"Dz2OrHYF","properties":{"formattedCitation":"(2)","plainCitation":"(2)","noteIndex":0},"citationItems":[{"id":200,"uris":["http://zotero.org/users/10068576/items/BD4HBQUE"],"itemData":{"id":200,"type":"article-journal","abstract":"Antibiotic resistance is a global public health threat. Many factors contribute to this issue, with human antibiotic consumption being significant among them. Analyzing trends and patterns in consumption can aid in developing policies to mitigate the burden of antimicrobial resistance and global disparities in access to antibiotics. Using pharmaceutical sales data licensed from IQVIA, we estimate national-level trends in antibiotic consumption in 67 countries during 2016–2023 and analyze the effects of economic growth and the COVID-19 pandemic. Finally, we estimate global human consumption and project growth through 2030 assuming current trends. We find that estimated antibiotic consumption in reported countries increased 16.3% from 29.5 to 34.3 billion defined daily doses (DDDs) from 2016 to 2023, reflecting a 10.6% increase in the consumption rate from 13.7 to 15.2 DDDs per 1,000 inhabitants per day. Increases were most pronounced in upper-middle- and lower-middle-income countries. While the COVID-19 pandemic significantly reduced consumption globally, this was most pronounced in high-income countries, and in these countries, reductions in antibiotic use in 2020 were sharper, and lasted longer, than in other countries. By 2030, we project that, without reductions in rapidly developing nations, such as investments to improve infrastructure, particularly water and sanitation, along with improved access to vaccination, global antibiotic consumption will increase by 52.3% from an estimated 49.3 billion in 2023 to 75.1 billion DDDs.","container-title":"Proceedings of the National Academy of Sciences","DOI":"10.1073/pnas.2411919121","issue":"49","note":"publisher: Proceedings of the National Academy of Sciences","page":"e2411919121","source":"pnas.org (Atypon)","title":"Global trends in antibiotic consumption during 2016–2023 and future projections through 2030","volume":"121","author":[{"family":"Klein","given":"Eili Y."},{"family":"Impalli","given":"Isabella"},{"family":"Poleon","given":"Suprena"},{"family":"Denoel","given":"Philippe"},{"family":"Cipriano","given":"Mariateresa"},{"family":"Van Boeckel","given":"Thomas P."},{"family":"Pecetta","given":"Simone"},{"family":"Bloom","given":"David E."},{"family":"Nandi","given":"Arindam"}],"issued":{"date-parts":[["2024",12,3]]}}}],"schema":"https://github.com/citation-style-language/schema/raw/master/csl-citation.json"} </w:instrText>
      </w:r>
      <w:r>
        <w:fldChar w:fldCharType="separate"/>
      </w:r>
      <w:r w:rsidR="000C6892">
        <w:rPr>
          <w:noProof/>
        </w:rPr>
        <w:t>(2)</w:t>
      </w:r>
      <w:r>
        <w:fldChar w:fldCharType="end"/>
      </w:r>
      <w:r>
        <w:t xml:space="preserve">. Furthermore, the inclusion of several cephalosporins in the 24th WHO Model List of Essential Medicines, published in 2025, supports the premise that their utilization will continue in the near future </w:t>
      </w:r>
      <w:r>
        <w:fldChar w:fldCharType="begin"/>
      </w:r>
      <w:r w:rsidR="000C6892">
        <w:instrText xml:space="preserve"> ADDIN ZOTERO_ITEM CSL_CITATION {"citationID":"6NAaqxv0","properties":{"formattedCitation":"(3)","plainCitation":"(3)","noteIndex":0},"citationItems":[{"id":215,"uris":["http://zotero.org/users/10068576/items/JMX7397S"],"itemData":{"id":215,"type":"document","abstract":"Essential medicines are those that satisfy the priority health care needs of a population. They are selected with due regard to disease prevalence and public health relevance, evidence of efficacy and safety and comparative cost-effectiveness. They are intended to be available in functioning health systems at all times, in appropriate dosage forms, of assured quality, and at prices individuals and health systems can afford.","language":"en","title":"WHO Model List of Essential Medicines 24th list","title-short":"The selection and use of essential medicines, 2025","URL":"https://www.who.int/publications/i/item/B09474","author":[{"literal":"World Health Organization"}],"accessed":{"date-parts":[["2025",11,10]]}}}],"schema":"https://github.com/citation-style-language/schema/raw/master/csl-citation.json"} </w:instrText>
      </w:r>
      <w:r>
        <w:fldChar w:fldCharType="separate"/>
      </w:r>
      <w:r w:rsidR="000C6892">
        <w:rPr>
          <w:noProof/>
        </w:rPr>
        <w:t>(3)</w:t>
      </w:r>
      <w:r>
        <w:fldChar w:fldCharType="end"/>
      </w:r>
      <w:r>
        <w:t>.</w:t>
      </w:r>
    </w:p>
    <w:p w14:paraId="255C9D38" w14:textId="58702199" w:rsidR="00922E90" w:rsidRDefault="00922E90" w:rsidP="00A01635">
      <w:pPr>
        <w:pStyle w:val="NormalWeb"/>
        <w:spacing w:before="0" w:beforeAutospacing="0" w:after="0" w:afterAutospacing="0" w:line="360" w:lineRule="auto"/>
        <w:ind w:firstLine="708"/>
        <w:jc w:val="both"/>
      </w:pPr>
      <w:r>
        <w:t xml:space="preserve">In this sense, it has been widely reported that </w:t>
      </w:r>
      <w:r>
        <w:rPr>
          <w:rFonts w:ascii="Symbol" w:eastAsia="Symbol" w:hAnsi="Symbol" w:cs="Symbol"/>
        </w:rPr>
        <w:t>b</w:t>
      </w:r>
      <w:r>
        <w:t xml:space="preserve">-lactam antibiotics can cause seizures due to the similarity of the beta-lactamic ring with the neurotransmitter GABA, reason why the antibiotics can easily bind the GABA A receptor and play an antagonic role in the GABAergic transmission </w:t>
      </w:r>
      <w:r>
        <w:fldChar w:fldCharType="begin"/>
      </w:r>
      <w:r w:rsidR="000C6892">
        <w:instrText xml:space="preserve"> ADDIN ZOTERO_ITEM CSL_CITATION {"citationID":"Fmx4nrgE","properties":{"formattedCitation":"(4)","plainCitation":"(4)","noteIndex":0},"citationItems":[{"id":213,"uris":["http://zotero.org/users/10068576/items/DST69NFD"],"itemData":{"id":213,"type":"article-journal","abstract":"Drug-induced seizures are a common occurrence in clinical practice, with research indicating that around 6% of initial seizures are due to drug toxicity. The use of antibiotics is one such cause of drug-related seizures. Previous systematic review has identified specific antibiotics that pose a risk of seizures, but a comprehensive analysis of a large patient sample is needed to determine the risk associated with various drugs. This study aimed to evaluate the association between seizures and various antibiotics that are presently accessible. To identify potential risk signals from the US Food and Drug Administration adverse event reporting system (FAERS) database, a disproportionality analysis was conducted. The reporting odds ratio (ROR) using the frequency approach and the information component (IC) using the Bayesian approach were used to detect signals. The median time-to-onset of seizure, as well as the Weibull distribution parameters were calculated to analyze the onset time. A total of 14,407,157 FAERS reports were analyzed.10 antibiotics were associated with seizures that were defined by 41 preferred terms. Onset time were aligned with the wear out failure type profile. This study identified 10 antibiotics that showed significant associations with seizures. Imipenem-cilastatin had the highest seizure ROR.","container-title":"Expert Opinion on Drug Safety","DOI":"10.1080/14740338.2023.2234825","ISSN":"1474-0338","issue":"11","note":"publisher: Taylor &amp; Francis\n_eprint: https://doi.org/10.1080/14740338.2023.2234825\nPMID: 37417744","page":"1143-1148","source":"Taylor and Francis+NEJM","title":"Seizures associated with antibiotics: a real-world disproportionality analysis of FAERS database","title-short":"Seizures associated with antibiotics","volume":"22","author":[{"family":"Zou","given":"Dan"},{"family":"Zhang","given":"Rui"},{"family":"Yu","given":"Lei"},{"family":"Hu","given":"Tingting"},{"family":"Wu","given":"Bin"}],"issued":{"date-parts":[["2023",11,2]]}}}],"schema":"https://github.com/citation-style-language/schema/raw/master/csl-citation.json"} </w:instrText>
      </w:r>
      <w:r>
        <w:fldChar w:fldCharType="separate"/>
      </w:r>
      <w:r w:rsidR="000C6892">
        <w:rPr>
          <w:noProof/>
        </w:rPr>
        <w:t>(4)</w:t>
      </w:r>
      <w:r>
        <w:fldChar w:fldCharType="end"/>
      </w:r>
      <w:r>
        <w:t xml:space="preserve">. Particularly referring to cephalosporins, the neurotoxic effect observed is dose-dependant, and according to existing litterature reports, cefazoline is the most epileptogenic drug in this group </w:t>
      </w:r>
      <w:r>
        <w:fldChar w:fldCharType="begin"/>
      </w:r>
      <w:r w:rsidR="000C6892">
        <w:instrText xml:space="preserve"> ADDIN ZOTERO_ITEM CSL_CITATION {"citationID":"7DRKO1xo","properties":{"formattedCitation":"(5)","plainCitation":"(5)","noteIndex":0},"citationItems":[{"id":217,"uris":["http://zotero.org/users/10068576/items/CEMFEWFS"],"itemData":{"id":217,"type":"article-journal","abstract":"Objective:Antibiotic drugs are commonly associated with seizures. Tailoring antibiotics to the individual risk for seizures is challenged as avoidance of certain antibiotic classes may no longer be possible due to the emergence of resistant bacteria. We performed a systematic review regarding the current evidence for seizures associated with all antibiotic classes, their underlying mechanisms, and predisposing factors.Methods:The medical search engine PubMed was systematically screened to identify articles in English published between 1960 and 2013. All study designs were considered and evidence was assessed.Results:We included 143 articles involving 25,712 patients and 25 different antibiotics. Evidence for antibiotic-related symptomatic seizures is low to very low, mainly deriving from studies regarding β-lactams, especially unsubstituted penicillins and fourth-generation cephalosporins, as well as carbapenems, mainly imipenem, all administered in high doses or in patients with renal dysfunction, brain lesions, or known epilepsy. Evidence regarding symptomatic seizures from fluoroquinolones only relies on case reports and case series with most reports for ciprofloxacin in patients with renal dysfunction, mental disorders, prior seizures, or coadministered theophylline.Conclusions:Evidence for an association between antibiotic drugs and symptomatic seizures is low to very low (evidence Class III–IV). Despite this, numerous reports point to an increased risk for symptomatic seizures especially of unsubstituted penicillins, fourth-generation cephalosporins, imipenem, and ciprofloxacin in combination with renal dysfunction, brain lesions, and epilepsy. During administration of such antibiotics in patients with particular predispositions, close monitoring of serum levels is advocated. As most seizures associated with cephalosporins are nonconvulsive, continuous EEG should be considered in patients with altered levels of consciousness.","container-title":"Neurology","DOI":"10.1212/WNL.0000000000002023","issue":"15","note":"publisher: Wolters Kluwer","page":"1332-1341","source":"neurology.org (Atypon)","title":"Seizures as adverse events of antibiotic drugs","volume":"85","author":[{"family":"Sutter","given":"Raoul"},{"family":"Rüegg","given":"Stephan"},{"family":"Tschudin-Sutter","given":"Sarah"}],"issued":{"date-parts":[["2015",10,13]]}}}],"schema":"https://github.com/citation-style-language/schema/raw/master/csl-citation.json"} </w:instrText>
      </w:r>
      <w:r>
        <w:fldChar w:fldCharType="separate"/>
      </w:r>
      <w:r w:rsidR="000C6892">
        <w:rPr>
          <w:noProof/>
        </w:rPr>
        <w:t>(5)</w:t>
      </w:r>
      <w:r>
        <w:fldChar w:fldCharType="end"/>
      </w:r>
      <w:r>
        <w:t>.</w:t>
      </w:r>
    </w:p>
    <w:p w14:paraId="6D0834E6" w14:textId="714C0F44" w:rsidR="00922E90" w:rsidRPr="00414407" w:rsidRDefault="00922E90" w:rsidP="002B3ACB">
      <w:pPr>
        <w:pStyle w:val="NormalWeb"/>
        <w:spacing w:before="0" w:beforeAutospacing="0" w:after="0" w:afterAutospacing="0" w:line="360" w:lineRule="auto"/>
        <w:ind w:firstLine="708"/>
        <w:jc w:val="both"/>
      </w:pPr>
      <w:r>
        <w:t xml:space="preserve">Regarding to the risk factors associated with convulsions, several studies have observed a correlation with renal impairment, previous central nervous systems diseases, older age, multiple concomitant therapies and concomitant medical conditions </w:t>
      </w:r>
      <w:r>
        <w:fldChar w:fldCharType="begin"/>
      </w:r>
      <w:r w:rsidR="000C6892">
        <w:instrText xml:space="preserve"> ADDIN ZOTERO_ITEM CSL_CITATION {"citationID":"pE3oN3hP","properties":{"formattedCitation":"(6)","plainCitation":"(6)","noteIndex":0},"citationItems":[{"id":218,"uris":["http://zotero.org/users/10068576/items/QBRM5PWY"],"itemData":{"id":218,"type":"article-journal","abstract":"Introduction\nAmong antibiotics, Central Nervous System (CNS) adverse drug reactions (ADRs) are often under-suspected and overlooked. Cephalosporins are an important cause of drug-induced CNS ADRs but the characteristics of such ADR have not been fully explored. We aimed to characterize the profile of cephalosporins serious CNS ADRs.\nMethod\nWe performed an analysis of serious reports recorded in the French Pharmacovigilance database from 1987 to 2017.\nResults\nA total of 511 serious ADRs reports was analyzed. Patients had a mean age of 67.1 years and were mainly men (52.5%), with a mean creatinine clearance of 32.9 ml/min. The most involved molecules were cefepime (33.1%), ceftriaxone (29.7%), ceftazidime (19.6%), cefotaxime (9%) and cefazoline (2.9%), mostly administered intravenously (87.3%). A CNS history was observed in 25% of the reports (n = 128). Patients exhibited encephalopathy (30.3%), confusional state (19.4%), convulsion (15.1%), myoclonia (9.4%), status epilepticus (9.2%), coma (6.3%) and hallucination (4.3%). The mean time of onset was 7.7 days and the mean duration was 6 days. Cephalosporin plasma levels were recorded for 153 patients (29.9%) and 107 were above the standards including 62 (57.9%) related to renal impairment. Electroencephalograms were performed in 38.2% (n = 195) of the patients and 81% (n = 158) were abnormal.\nConclusion\nThis study characterizes an off-target CNS ADRs of several cephalosporins. Ceftriaxone represented a large part of our reports after cefepime and it would be relevant to warn healthcare professionals. Investigations (EEG, though plasma levels and renal function) can be precious tools for clinicians to make a prompt diagnosis and improve patients' outcomes.","container-title":"Journal of the Neurological Sciences","DOI":"10.1016/j.jns.2019.01.018","ISSN":"0022-510X","journalAbbreviation":"Journal of the Neurological Sciences","page":"196-201","source":"ScienceDirect","title":"Serious central nervous system side effects of cephalosporins: A national analysis of serious reports registered in the French Pharmacovigilance Database","title-short":"Serious central nervous system side effects of cephalosporins","volume":"398","author":[{"family":"Lacroix","given":"C."},{"family":"Kheloufi","given":"F."},{"family":"Montastruc","given":"F."},{"family":"Bennis","given":"Y."},{"family":"Pizzoglio","given":"V."},{"family":"Micallef","given":"J."}],"issued":{"date-parts":[["2019",3,15]]}}}],"schema":"https://github.com/citation-style-language/schema/raw/master/csl-citation.json"} </w:instrText>
      </w:r>
      <w:r>
        <w:fldChar w:fldCharType="separate"/>
      </w:r>
      <w:r w:rsidR="000C6892">
        <w:rPr>
          <w:noProof/>
        </w:rPr>
        <w:t>(6)</w:t>
      </w:r>
      <w:r>
        <w:fldChar w:fldCharType="end"/>
      </w:r>
      <w:r>
        <w:t xml:space="preserve">. Moreover, </w:t>
      </w:r>
      <w:r w:rsidRPr="0033536C">
        <w:t xml:space="preserve">Haddad </w:t>
      </w:r>
      <w:r w:rsidRPr="0033536C">
        <w:rPr>
          <w:i/>
          <w:iCs/>
        </w:rPr>
        <w:t>et al</w:t>
      </w:r>
      <w:r w:rsidRPr="0033536C">
        <w:t xml:space="preserve">. </w:t>
      </w:r>
      <w:r>
        <w:t>(</w:t>
      </w:r>
      <w:r w:rsidRPr="0033536C">
        <w:t>2022)</w:t>
      </w:r>
      <w:r>
        <w:t xml:space="preserve"> developed a </w:t>
      </w:r>
      <w:r w:rsidRPr="009A4056">
        <w:t>multivariable neurotoxicity assessment tool</w:t>
      </w:r>
      <w:r>
        <w:t xml:space="preserve"> to predict the risk of developing neurotoxicity after </w:t>
      </w:r>
      <w:r>
        <w:rPr>
          <w:rFonts w:ascii="Symbol" w:eastAsia="Symbol" w:hAnsi="Symbol" w:cs="Symbol"/>
        </w:rPr>
        <w:t>b</w:t>
      </w:r>
      <w:r>
        <w:t xml:space="preserve">-lactamic administration, which considered patient weight, age, estimated creatinine clearance and Charlson comorbidity score </w:t>
      </w:r>
      <w:r>
        <w:fldChar w:fldCharType="begin"/>
      </w:r>
      <w:r w:rsidR="000C6892">
        <w:instrText xml:space="preserve"> ADDIN ZOTERO_ITEM CSL_CITATION {"citationID":"x1ig2bdK","properties":{"formattedCitation":"(7)","plainCitation":"(7)","noteIndex":0},"citationItems":[{"id":220,"uris":["http://zotero.org/users/10068576/items/9HRGCCFK"],"itemData":{"id":220,"type":"article-journal","abstract":"Beta-lactam neurotoxicity is a relatively uncommon yet clinically significant adverse effect in critically ill patients. This study sought to define the incidence of neurotoxicity, derive a prediction model for beta-lactam neurotoxicity, and then validate the model in an independent cohort of critically ill adults.","container-title":"Neurocritical Care","DOI":"10.1007/s12028-022-01442-1","ISSN":"1556-0961","issue":"1","journalAbbreviation":"Neurocrit Care","language":"en","page":"73-80","source":"Springer Link","title":"Incidence and Predictive Factors Associated with Beta-Lactam Neurotoxicity in the Critically Ill: A Retrospective Cohort Study","title-short":"Incidence and Predictive Factors Associated with Beta-Lactam Neurotoxicity in the Critically Ill","volume":"37","author":[{"family":"Haddad","given":"Natalie A."},{"family":"Schreier","given":"Diana J."},{"family":"Fugate","given":"Jennifer E."},{"family":"Gajic","given":"Ognjen"},{"family":"Hocker","given":"Sara E."},{"family":"Ice","given":"Calvin J."},{"family":"Leung","given":"Sarah B."},{"family":"Mara","given":"Kristin C."},{"family":"Rabinstein","given":"Alejandro A."},{"family":"Rule","given":"Andrew D."},{"family":"Barreto","given":"Erin F."}],"issued":{"date-parts":[["2022",8,1]]}}}],"schema":"https://github.com/citation-style-language/schema/raw/master/csl-citation.json"} </w:instrText>
      </w:r>
      <w:r>
        <w:fldChar w:fldCharType="separate"/>
      </w:r>
      <w:r w:rsidR="000C6892">
        <w:rPr>
          <w:noProof/>
        </w:rPr>
        <w:t>(7)</w:t>
      </w:r>
      <w:r>
        <w:fldChar w:fldCharType="end"/>
      </w:r>
      <w:r>
        <w:t>.</w:t>
      </w:r>
    </w:p>
    <w:p w14:paraId="06603A9B" w14:textId="77777777" w:rsidR="00922E90" w:rsidRDefault="00922E90" w:rsidP="005D19D2">
      <w:pPr>
        <w:spacing w:line="360" w:lineRule="auto"/>
        <w:jc w:val="both"/>
        <w:rPr>
          <w:rFonts w:ascii="Times New Roman" w:hAnsi="Times New Roman" w:cs="Times New Roman"/>
          <w:b/>
          <w:bCs/>
          <w:lang w:val="en-GB"/>
        </w:rPr>
      </w:pPr>
    </w:p>
    <w:p w14:paraId="162BE948" w14:textId="21F9ABC9" w:rsidR="0025275C" w:rsidRDefault="00E667AB" w:rsidP="005D19D2">
      <w:pPr>
        <w:spacing w:line="360" w:lineRule="auto"/>
        <w:jc w:val="both"/>
        <w:rPr>
          <w:rFonts w:ascii="Times New Roman" w:hAnsi="Times New Roman" w:cs="Times New Roman"/>
          <w:b/>
          <w:bCs/>
          <w:lang w:val="en-GB"/>
        </w:rPr>
      </w:pPr>
      <w:r>
        <w:rPr>
          <w:rFonts w:ascii="Times New Roman" w:hAnsi="Times New Roman" w:cs="Times New Roman"/>
          <w:b/>
          <w:bCs/>
          <w:lang w:val="en-GB"/>
        </w:rPr>
        <w:t>Problem identification</w:t>
      </w:r>
    </w:p>
    <w:p w14:paraId="6D39C31D" w14:textId="4F690B80" w:rsidR="00E667AB" w:rsidRPr="00E667AB" w:rsidRDefault="00207517" w:rsidP="005D19D2">
      <w:pPr>
        <w:spacing w:line="360" w:lineRule="auto"/>
        <w:jc w:val="both"/>
        <w:rPr>
          <w:rFonts w:ascii="Times New Roman" w:hAnsi="Times New Roman" w:cs="Times New Roman"/>
          <w:lang w:val="en-GB"/>
        </w:rPr>
      </w:pPr>
      <w:r>
        <w:rPr>
          <w:rFonts w:ascii="Times New Roman" w:hAnsi="Times New Roman" w:cs="Times New Roman"/>
          <w:lang w:val="en-GB"/>
        </w:rPr>
        <w:t>A g</w:t>
      </w:r>
      <w:r w:rsidR="00A02E62" w:rsidRPr="00A02E62">
        <w:rPr>
          <w:rFonts w:ascii="Times New Roman" w:hAnsi="Times New Roman" w:cs="Times New Roman"/>
          <w:lang w:val="en-GB"/>
        </w:rPr>
        <w:t>lobal safety alert of risk of seizures with cephalosporins</w:t>
      </w:r>
      <w:r w:rsidR="00CF0392">
        <w:rPr>
          <w:rFonts w:ascii="Times New Roman" w:hAnsi="Times New Roman" w:cs="Times New Roman"/>
          <w:lang w:val="en-GB"/>
        </w:rPr>
        <w:t xml:space="preserve"> was </w:t>
      </w:r>
      <w:r w:rsidR="00623605">
        <w:rPr>
          <w:rFonts w:ascii="Times New Roman" w:hAnsi="Times New Roman" w:cs="Times New Roman"/>
          <w:lang w:val="en-GB"/>
        </w:rPr>
        <w:t>issued</w:t>
      </w:r>
      <w:r w:rsidR="00CF0392">
        <w:rPr>
          <w:rFonts w:ascii="Times New Roman" w:hAnsi="Times New Roman" w:cs="Times New Roman"/>
          <w:lang w:val="en-GB"/>
        </w:rPr>
        <w:t xml:space="preserve"> by the FDA in 2012, </w:t>
      </w:r>
      <w:r w:rsidR="00623605">
        <w:rPr>
          <w:rFonts w:ascii="Times New Roman" w:hAnsi="Times New Roman" w:cs="Times New Roman"/>
          <w:lang w:val="en-GB"/>
        </w:rPr>
        <w:t>aiming</w:t>
      </w:r>
      <w:r w:rsidR="00CF0392">
        <w:rPr>
          <w:rFonts w:ascii="Times New Roman" w:hAnsi="Times New Roman" w:cs="Times New Roman"/>
          <w:lang w:val="en-GB"/>
        </w:rPr>
        <w:t xml:space="preserve"> to </w:t>
      </w:r>
      <w:r w:rsidR="00623605">
        <w:rPr>
          <w:rFonts w:ascii="Times New Roman" w:hAnsi="Times New Roman" w:cs="Times New Roman"/>
          <w:lang w:val="en-GB"/>
        </w:rPr>
        <w:t>influence</w:t>
      </w:r>
      <w:r w:rsidR="00A02E62" w:rsidRPr="00A02E62">
        <w:rPr>
          <w:rFonts w:ascii="Times New Roman" w:hAnsi="Times New Roman" w:cs="Times New Roman"/>
          <w:lang w:val="en-GB"/>
        </w:rPr>
        <w:t xml:space="preserve"> </w:t>
      </w:r>
      <w:r w:rsidR="004F65E2">
        <w:rPr>
          <w:rFonts w:ascii="Times New Roman" w:hAnsi="Times New Roman" w:cs="Times New Roman"/>
          <w:lang w:val="en-GB"/>
        </w:rPr>
        <w:t>prescription practices</w:t>
      </w:r>
      <w:r w:rsidR="00A02E62" w:rsidRPr="00A02E62">
        <w:rPr>
          <w:rFonts w:ascii="Times New Roman" w:hAnsi="Times New Roman" w:cs="Times New Roman"/>
          <w:lang w:val="en-GB"/>
        </w:rPr>
        <w:t xml:space="preserve">, </w:t>
      </w:r>
      <w:r w:rsidR="00CF0392">
        <w:rPr>
          <w:rFonts w:ascii="Times New Roman" w:hAnsi="Times New Roman" w:cs="Times New Roman"/>
          <w:lang w:val="en-GB"/>
        </w:rPr>
        <w:t xml:space="preserve">promote </w:t>
      </w:r>
      <w:r w:rsidR="00A02E62" w:rsidRPr="00A02E62">
        <w:rPr>
          <w:rFonts w:ascii="Times New Roman" w:hAnsi="Times New Roman" w:cs="Times New Roman"/>
          <w:lang w:val="en-GB"/>
        </w:rPr>
        <w:t xml:space="preserve">rational antibiotic use and </w:t>
      </w:r>
      <w:r w:rsidR="00B67269">
        <w:rPr>
          <w:rFonts w:ascii="Times New Roman" w:hAnsi="Times New Roman" w:cs="Times New Roman"/>
          <w:lang w:val="en-GB"/>
        </w:rPr>
        <w:t xml:space="preserve">guide </w:t>
      </w:r>
      <w:r w:rsidR="00A02E62" w:rsidRPr="00A02E62">
        <w:rPr>
          <w:rFonts w:ascii="Times New Roman" w:hAnsi="Times New Roman" w:cs="Times New Roman"/>
          <w:lang w:val="en-GB"/>
        </w:rPr>
        <w:t>risk communication</w:t>
      </w:r>
      <w:r w:rsidR="00E1605A">
        <w:rPr>
          <w:rFonts w:ascii="Times New Roman" w:hAnsi="Times New Roman" w:cs="Times New Roman"/>
          <w:lang w:val="en-GB"/>
        </w:rPr>
        <w:t xml:space="preserve"> </w:t>
      </w:r>
      <w:r w:rsidR="000D2C4E">
        <w:rPr>
          <w:rFonts w:ascii="Times New Roman" w:hAnsi="Times New Roman" w:cs="Times New Roman"/>
          <w:lang w:val="en-GB"/>
        </w:rPr>
        <w:fldChar w:fldCharType="begin"/>
      </w:r>
      <w:r w:rsidR="000C6892">
        <w:rPr>
          <w:rFonts w:ascii="Times New Roman" w:hAnsi="Times New Roman" w:cs="Times New Roman"/>
          <w:lang w:val="en-GB"/>
        </w:rPr>
        <w:instrText xml:space="preserve"> ADDIN ZOTERO_ITEM CSL_CITATION {"citationID":"QlVSrYxo","properties":{"formattedCitation":"(8)","plainCitation":"(8)","noteIndex":0},"citationItems":[{"id":238,"uris":["http://zotero.org/users/10068576/items/EBBRKZXC"],"itemData":{"id":238,"type":"article-journal","abstract":"The U.S. Food and Drug Administration (FDA) is reminding health care professionals about the need to adjust the dosage of the antibacterial drug cefepime in patients with renal (kidney) impairment. There have been cases of a specific type of seizure called nonconvulsive status epilepticus associated with the use of cefepime, primarily in patients with renal impairment who did not receive appropriate dosage adjustments of cefepime.","container-title":"FDA","language":"en","note":"publisher: FDA","source":"www.fda.gov","title":"FDA Drug Safety Communication: Cefepime and risk of seizure in patients not receiving dosage adjustments for kidney impairment","title-short":"FDA Drug Safety Communication","URL":"https://www.fda.gov/drugs/drug-safety-and-availability/fda-drug-safety-communication-cefepime-and-risk-seizure-patients-not-receiving-dosage-adjustments","author":[{"family":"Research","given":"Center for Drug Evaluation","dropping-particle":"and"}],"accessed":{"date-parts":[["2025",11,11]]},"issued":{"date-parts":[["2019",6,26]]}}}],"schema":"https://github.com/citation-style-language/schema/raw/master/csl-citation.json"} </w:instrText>
      </w:r>
      <w:r w:rsidR="000D2C4E">
        <w:rPr>
          <w:rFonts w:ascii="Times New Roman" w:hAnsi="Times New Roman" w:cs="Times New Roman"/>
          <w:lang w:val="en-GB"/>
        </w:rPr>
        <w:fldChar w:fldCharType="separate"/>
      </w:r>
      <w:r w:rsidR="000C6892">
        <w:rPr>
          <w:rFonts w:ascii="Times New Roman" w:hAnsi="Times New Roman" w:cs="Times New Roman"/>
          <w:noProof/>
          <w:lang w:val="en-GB"/>
        </w:rPr>
        <w:t>(8)</w:t>
      </w:r>
      <w:r w:rsidR="000D2C4E">
        <w:rPr>
          <w:rFonts w:ascii="Times New Roman" w:hAnsi="Times New Roman" w:cs="Times New Roman"/>
          <w:lang w:val="en-GB"/>
        </w:rPr>
        <w:fldChar w:fldCharType="end"/>
      </w:r>
      <w:r w:rsidR="00A02E62">
        <w:rPr>
          <w:rFonts w:ascii="Times New Roman" w:hAnsi="Times New Roman" w:cs="Times New Roman"/>
          <w:lang w:val="en-GB"/>
        </w:rPr>
        <w:t>.</w:t>
      </w:r>
      <w:r w:rsidR="00B67269">
        <w:rPr>
          <w:rFonts w:ascii="Times New Roman" w:hAnsi="Times New Roman" w:cs="Times New Roman"/>
          <w:lang w:val="en-GB"/>
        </w:rPr>
        <w:t xml:space="preserve"> </w:t>
      </w:r>
      <w:r w:rsidR="002B01F5">
        <w:rPr>
          <w:rFonts w:ascii="Times New Roman" w:hAnsi="Times New Roman" w:cs="Times New Roman"/>
          <w:lang w:val="en-GB"/>
        </w:rPr>
        <w:t xml:space="preserve">Additionally, in the </w:t>
      </w:r>
      <w:r w:rsidR="002B01F5" w:rsidRPr="002B01F5">
        <w:rPr>
          <w:rFonts w:ascii="Times New Roman" w:hAnsi="Times New Roman" w:cs="Times New Roman"/>
        </w:rPr>
        <w:t>first semester of 2023</w:t>
      </w:r>
      <w:r w:rsidR="00131717">
        <w:rPr>
          <w:rFonts w:ascii="Times New Roman" w:hAnsi="Times New Roman" w:cs="Times New Roman"/>
        </w:rPr>
        <w:t xml:space="preserve">, </w:t>
      </w:r>
      <w:r w:rsidR="009305B5" w:rsidRPr="009305B5">
        <w:rPr>
          <w:rFonts w:ascii="Times New Roman" w:hAnsi="Times New Roman" w:cs="Times New Roman"/>
        </w:rPr>
        <w:t xml:space="preserve">alerts regarding the potential risk of seizure onset were published </w:t>
      </w:r>
      <w:r w:rsidR="002B01F5" w:rsidRPr="002B01F5">
        <w:rPr>
          <w:rFonts w:ascii="Times New Roman" w:hAnsi="Times New Roman" w:cs="Times New Roman"/>
        </w:rPr>
        <w:t>by the health agencies of several countries, including Mexico, Canada, New Zealand, and Chile</w:t>
      </w:r>
      <w:r w:rsidR="00DA5F38">
        <w:rPr>
          <w:rFonts w:ascii="Times New Roman" w:hAnsi="Times New Roman" w:cs="Times New Roman"/>
        </w:rPr>
        <w:t xml:space="preserve"> </w:t>
      </w:r>
      <w:r w:rsidR="00413F3B">
        <w:rPr>
          <w:rFonts w:ascii="Times New Roman" w:hAnsi="Times New Roman" w:cs="Times New Roman"/>
        </w:rPr>
        <w:fldChar w:fldCharType="begin"/>
      </w:r>
      <w:r w:rsidR="000C6892">
        <w:rPr>
          <w:rFonts w:ascii="Times New Roman" w:hAnsi="Times New Roman" w:cs="Times New Roman"/>
        </w:rPr>
        <w:instrText xml:space="preserve"> ADDIN ZOTERO_ITEM CSL_CITATION {"citationID":"zfTkkiPm","properties":{"formattedCitation":"(9\\uc0\\u8211{}13)","plainCitation":"(9–13)","noteIndex":0},"citationItems":[{"id":222,"uris":["http://zotero.org/users/10068576/items/58E3K39E"],"itemData":{"id":222,"type":"article-journal","abstract":"Mexico is a member of the “International Program for Monitoring Adverse Drug Reactions” of the World Health Organization and, through the National Pharmacovigilance Center, it promotes actions regarding drug safety that contribute to the well-being of patients and their rational use. The evaluation of the safety profile of cephalosporins marketed in Mexico allowed us to identify that the risk of seizures and predisposing factors were not described in the prescribing information of some of them, so COFEPRIS implemented a series of measures to minimize this risk.","container-title":"Revista Mexicana de Política Exterior","ISSN":"2594-2441","issue":"129","language":"en","license":"Derechos de autor 2024 SRE","page":"87-98","source":"re.sre.gob.mx","title":"Risk of Seizures Associated with the Use of Antibiotics from the Cephalosporin Group","author":[{"family":"Svarch","given":"Alejandro E."},{"family":"Rosales","given":"Miriam Jackeline Loera"},{"family":"Arceo","given":"Diana Edith Sánchez"},{"family":"Quintana","given":"Rogelio Ríos"},{"family":"Badillo","given":"Mayte Guadalupe Cervantes"}],"issued":{"date-parts":[["2024",9,26]]}}},{"id":235,"uris":["http://zotero.org/users/10068576/items/8BEA6CK4"],"itemData":{"id":235,"type":"webpage","abstract":"Comunicado de prensa 106/2023","container-title":"Gobierno de México","language":"es","title":"Cofepris alerta sobre prescripción de medicamentos con cefalosporinas","URL":"http://www.gob.mx/cofepris/articulos/cofepris-alerta-sobre-prescripcion-de-medicamentos-con-cefalosporinas?idiom=es","author":[{"literal":"Comisión Federal para la Protección Contra Riesgos Sanitarios"}],"accessed":{"date-parts":[["2025",11,10]]},"issued":{"date-parts":[["2023",10,3]]}}},{"id":226,"uris":["http://zotero.org/users/10068576/items/Y3B5RMPM"],"itemData":{"id":226,"type":"webpage","abstract":"A Summary Safety Review complements other safety related information to help Canadians make informed decisions about their use of health products. Each summary outlines what was assessed in Health Canada’s review, what was found and what action was taken by Health Canada, if any.Information on drug and health products authorized by Health Canada.","language":"eng","title":"Summary Safety Review - Cephalosporins - Assessing the Potential Risk of Seizures","URL":"https://dhpp.hpfb-dgpsa.ca/review-documents/resource/SSR00291","author":[{"literal":"Health Canada"}],"accessed":{"date-parts":[["2025",11,10]]},"issued":{"date-parts":[["2023",1,23]]}}},{"id":234,"uris":["http://zotero.org/users/10068576/items/P44NQ8CH"],"itemData":{"id":234,"type":"article-journal","abstract":"There have been reports of neurotoxicity with cephalosporins, including encephalopathy, seizures and/or myoclonus.\nRisk factors include older age groups, renal impairment, underlying central nervous system disorders and intravenous administration.\nConsider cephalosporins as a potential cause of neurotoxicity in patients with these risk factors and an unexplained, new onset neurological condition","container-title":"Prescriber Update","issue":"1","language":"en","page":"2 - 4","title":"Risk of neurotoxicity with cephalosporins","volume":"44","author":[{"literal":"MEDSAFE New Zealand Medicines and Medical Devices Safety Authority"}],"issued":{"date-parts":[["2023",3]]}}},{"id":237,"uris":["http://zotero.org/users/10068576/items/K2YUWJK8"],"itemData":{"id":237,"type":"article-magazine","title":"ISP REFUERZA ADVERTENCIA SOBRE EL RIESGO DE CONVULSIONES Y OTRAS REACCIONES DEL SISTEMA NERVIOSO CENTRAL, CON EL USO DE ANTIBIÓTICOS DE LA FAMILIA DE LAS CEFALOSPORINAS","URL":"https://www.ispch.gob.cl/alerta/isp-refuerza-advertencia-sobre-el-riesgo-de-convulsiones-y-otras-reacciones-del-sistema-nervioso-central-con-el-uso-de-antibioticos-de-la-familia-de-las-cefalosporinas/","author":[{"literal":"Instituto de Salud Pública, Ministerio de Salud"}],"issued":{"date-parts":[["2024",5,27]]}}}],"schema":"https://github.com/citation-style-language/schema/raw/master/csl-citation.json"} </w:instrText>
      </w:r>
      <w:r w:rsidR="00413F3B">
        <w:rPr>
          <w:rFonts w:ascii="Times New Roman" w:hAnsi="Times New Roman" w:cs="Times New Roman"/>
        </w:rPr>
        <w:fldChar w:fldCharType="separate"/>
      </w:r>
      <w:r w:rsidR="000C6892" w:rsidRPr="000C6892">
        <w:rPr>
          <w:rFonts w:ascii="Times New Roman" w:hAnsi="Times New Roman" w:cs="Times New Roman"/>
          <w:kern w:val="0"/>
        </w:rPr>
        <w:t>(9–13)</w:t>
      </w:r>
      <w:r w:rsidR="00413F3B">
        <w:rPr>
          <w:rFonts w:ascii="Times New Roman" w:hAnsi="Times New Roman" w:cs="Times New Roman"/>
        </w:rPr>
        <w:fldChar w:fldCharType="end"/>
      </w:r>
      <w:r w:rsidR="00C936D4">
        <w:rPr>
          <w:rFonts w:ascii="Times New Roman" w:hAnsi="Times New Roman" w:cs="Times New Roman"/>
        </w:rPr>
        <w:t>.</w:t>
      </w:r>
    </w:p>
    <w:p w14:paraId="1C5274A7" w14:textId="0A1F4035" w:rsidR="0025275C" w:rsidRDefault="00E92F67" w:rsidP="005D19D2">
      <w:pPr>
        <w:spacing w:line="360" w:lineRule="auto"/>
        <w:jc w:val="both"/>
        <w:rPr>
          <w:rFonts w:ascii="Times New Roman" w:hAnsi="Times New Roman" w:cs="Times New Roman"/>
          <w:lang w:val="en-GB"/>
        </w:rPr>
      </w:pPr>
      <w:r>
        <w:rPr>
          <w:rFonts w:ascii="Times New Roman" w:hAnsi="Times New Roman" w:cs="Times New Roman"/>
          <w:b/>
          <w:bCs/>
          <w:lang w:val="en-GB"/>
        </w:rPr>
        <w:tab/>
      </w:r>
      <w:r>
        <w:rPr>
          <w:rFonts w:ascii="Times New Roman" w:hAnsi="Times New Roman" w:cs="Times New Roman"/>
          <w:lang w:val="en-GB"/>
        </w:rPr>
        <w:t xml:space="preserve">However, </w:t>
      </w:r>
      <w:r w:rsidR="00E36BC6">
        <w:rPr>
          <w:rFonts w:ascii="Times New Roman" w:hAnsi="Times New Roman" w:cs="Times New Roman"/>
          <w:lang w:val="en-GB"/>
        </w:rPr>
        <w:t xml:space="preserve">the </w:t>
      </w:r>
      <w:r w:rsidR="009353CD">
        <w:rPr>
          <w:rFonts w:ascii="Times New Roman" w:hAnsi="Times New Roman" w:cs="Times New Roman"/>
          <w:lang w:val="en-GB"/>
        </w:rPr>
        <w:t>diffusion</w:t>
      </w:r>
      <w:r w:rsidR="00E36BC6">
        <w:rPr>
          <w:rFonts w:ascii="Times New Roman" w:hAnsi="Times New Roman" w:cs="Times New Roman"/>
          <w:lang w:val="en-GB"/>
        </w:rPr>
        <w:t xml:space="preserve"> of</w:t>
      </w:r>
      <w:r w:rsidR="001704DF">
        <w:rPr>
          <w:rFonts w:ascii="Times New Roman" w:hAnsi="Times New Roman" w:cs="Times New Roman"/>
          <w:lang w:val="en-GB"/>
        </w:rPr>
        <w:t xml:space="preserve"> national and international</w:t>
      </w:r>
      <w:r w:rsidR="00E36BC6">
        <w:rPr>
          <w:rFonts w:ascii="Times New Roman" w:hAnsi="Times New Roman" w:cs="Times New Roman"/>
          <w:lang w:val="en-GB"/>
        </w:rPr>
        <w:t xml:space="preserve"> sanitary alerts </w:t>
      </w:r>
      <w:r w:rsidR="00413F3B">
        <w:rPr>
          <w:rFonts w:ascii="Times New Roman" w:hAnsi="Times New Roman" w:cs="Times New Roman"/>
          <w:lang w:val="en-GB"/>
        </w:rPr>
        <w:t xml:space="preserve">without </w:t>
      </w:r>
      <w:r w:rsidR="005649A6">
        <w:rPr>
          <w:rFonts w:ascii="Times New Roman" w:hAnsi="Times New Roman" w:cs="Times New Roman"/>
          <w:lang w:val="en-GB"/>
        </w:rPr>
        <w:t>adequate evidential support</w:t>
      </w:r>
      <w:r w:rsidR="009353CD">
        <w:rPr>
          <w:rFonts w:ascii="Times New Roman" w:hAnsi="Times New Roman" w:cs="Times New Roman"/>
          <w:lang w:val="en-GB"/>
        </w:rPr>
        <w:t xml:space="preserve"> may</w:t>
      </w:r>
      <w:r w:rsidR="00FD49EC">
        <w:rPr>
          <w:rFonts w:ascii="Times New Roman" w:hAnsi="Times New Roman" w:cs="Times New Roman"/>
          <w:lang w:val="en-GB"/>
        </w:rPr>
        <w:t xml:space="preserve"> </w:t>
      </w:r>
      <w:r w:rsidR="00FF4118">
        <w:rPr>
          <w:rFonts w:ascii="Times New Roman" w:hAnsi="Times New Roman" w:cs="Times New Roman"/>
          <w:lang w:val="en-GB"/>
        </w:rPr>
        <w:t>lead</w:t>
      </w:r>
      <w:r w:rsidR="001704DF">
        <w:rPr>
          <w:rFonts w:ascii="Times New Roman" w:hAnsi="Times New Roman" w:cs="Times New Roman"/>
          <w:lang w:val="en-GB"/>
        </w:rPr>
        <w:t xml:space="preserve"> physicians to </w:t>
      </w:r>
      <w:r w:rsidR="00FF4118">
        <w:rPr>
          <w:rFonts w:ascii="Times New Roman" w:hAnsi="Times New Roman" w:cs="Times New Roman"/>
          <w:lang w:val="en-GB"/>
        </w:rPr>
        <w:t>make</w:t>
      </w:r>
      <w:r w:rsidR="001704DF">
        <w:rPr>
          <w:rFonts w:ascii="Times New Roman" w:hAnsi="Times New Roman" w:cs="Times New Roman"/>
          <w:lang w:val="en-GB"/>
        </w:rPr>
        <w:t xml:space="preserve"> </w:t>
      </w:r>
      <w:r w:rsidR="00FF4118">
        <w:rPr>
          <w:rFonts w:ascii="Times New Roman" w:hAnsi="Times New Roman" w:cs="Times New Roman"/>
          <w:lang w:val="en-GB"/>
        </w:rPr>
        <w:t>in</w:t>
      </w:r>
      <w:r w:rsidR="00CA4DD4">
        <w:rPr>
          <w:rFonts w:ascii="Times New Roman" w:hAnsi="Times New Roman" w:cs="Times New Roman"/>
          <w:lang w:val="en-GB"/>
        </w:rPr>
        <w:t>a</w:t>
      </w:r>
      <w:r w:rsidR="00FF4118">
        <w:rPr>
          <w:rFonts w:ascii="Times New Roman" w:hAnsi="Times New Roman" w:cs="Times New Roman"/>
          <w:lang w:val="en-GB"/>
        </w:rPr>
        <w:t>ppropriate</w:t>
      </w:r>
      <w:r w:rsidR="001704DF">
        <w:rPr>
          <w:rFonts w:ascii="Times New Roman" w:hAnsi="Times New Roman" w:cs="Times New Roman"/>
          <w:lang w:val="en-GB"/>
        </w:rPr>
        <w:t xml:space="preserve"> medical </w:t>
      </w:r>
      <w:r w:rsidR="00D63BA9">
        <w:rPr>
          <w:rFonts w:ascii="Times New Roman" w:hAnsi="Times New Roman" w:cs="Times New Roman"/>
          <w:lang w:val="en-GB"/>
        </w:rPr>
        <w:t>decisions</w:t>
      </w:r>
      <w:r w:rsidR="00CA4DD4">
        <w:rPr>
          <w:rFonts w:ascii="Times New Roman" w:hAnsi="Times New Roman" w:cs="Times New Roman"/>
          <w:lang w:val="en-GB"/>
        </w:rPr>
        <w:t>. T</w:t>
      </w:r>
      <w:r w:rsidR="000F6D5F">
        <w:rPr>
          <w:rFonts w:ascii="Times New Roman" w:hAnsi="Times New Roman" w:cs="Times New Roman"/>
          <w:lang w:val="en-GB"/>
        </w:rPr>
        <w:t xml:space="preserve">he </w:t>
      </w:r>
      <w:r w:rsidR="00CA4DD4">
        <w:rPr>
          <w:rFonts w:ascii="Times New Roman" w:hAnsi="Times New Roman" w:cs="Times New Roman"/>
          <w:lang w:val="en-GB"/>
        </w:rPr>
        <w:t>lack</w:t>
      </w:r>
      <w:r w:rsidR="00BC50EC">
        <w:rPr>
          <w:rFonts w:ascii="Times New Roman" w:hAnsi="Times New Roman" w:cs="Times New Roman"/>
          <w:lang w:val="en-GB"/>
        </w:rPr>
        <w:t xml:space="preserve"> of public</w:t>
      </w:r>
      <w:r w:rsidR="00CA4DD4">
        <w:rPr>
          <w:rFonts w:ascii="Times New Roman" w:hAnsi="Times New Roman" w:cs="Times New Roman"/>
          <w:lang w:val="en-GB"/>
        </w:rPr>
        <w:t>ly available</w:t>
      </w:r>
      <w:r w:rsidR="00BC50EC">
        <w:rPr>
          <w:rFonts w:ascii="Times New Roman" w:hAnsi="Times New Roman" w:cs="Times New Roman"/>
          <w:lang w:val="en-GB"/>
        </w:rPr>
        <w:t xml:space="preserve"> </w:t>
      </w:r>
      <w:r w:rsidR="006826C8">
        <w:rPr>
          <w:rFonts w:ascii="Times New Roman" w:hAnsi="Times New Roman" w:cs="Times New Roman"/>
          <w:lang w:val="en-GB"/>
        </w:rPr>
        <w:t>information</w:t>
      </w:r>
      <w:r w:rsidR="00BC50EC">
        <w:rPr>
          <w:rFonts w:ascii="Times New Roman" w:hAnsi="Times New Roman" w:cs="Times New Roman"/>
          <w:lang w:val="en-GB"/>
        </w:rPr>
        <w:t xml:space="preserve">, including </w:t>
      </w:r>
      <w:r w:rsidR="00BB2CE9">
        <w:rPr>
          <w:rFonts w:ascii="Times New Roman" w:hAnsi="Times New Roman" w:cs="Times New Roman"/>
          <w:lang w:val="en-GB"/>
        </w:rPr>
        <w:t>data on incidence rates</w:t>
      </w:r>
      <w:r w:rsidR="00BC50EC">
        <w:rPr>
          <w:rFonts w:ascii="Times New Roman" w:hAnsi="Times New Roman" w:cs="Times New Roman"/>
          <w:lang w:val="en-GB"/>
        </w:rPr>
        <w:t>, risk factors</w:t>
      </w:r>
      <w:r w:rsidR="009143FA">
        <w:rPr>
          <w:rFonts w:ascii="Times New Roman" w:hAnsi="Times New Roman" w:cs="Times New Roman"/>
          <w:lang w:val="en-GB"/>
        </w:rPr>
        <w:t xml:space="preserve"> and </w:t>
      </w:r>
      <w:r w:rsidR="00BB2CE9">
        <w:rPr>
          <w:rFonts w:ascii="Times New Roman" w:hAnsi="Times New Roman" w:cs="Times New Roman"/>
          <w:lang w:val="en-GB"/>
        </w:rPr>
        <w:t xml:space="preserve">the specific </w:t>
      </w:r>
      <w:r w:rsidR="009143FA">
        <w:rPr>
          <w:rFonts w:ascii="Times New Roman" w:hAnsi="Times New Roman" w:cs="Times New Roman"/>
          <w:lang w:val="en-GB"/>
        </w:rPr>
        <w:t xml:space="preserve">drugs involved in adverse reactions, </w:t>
      </w:r>
      <w:r w:rsidR="0001602F">
        <w:rPr>
          <w:rFonts w:ascii="Times New Roman" w:hAnsi="Times New Roman" w:cs="Times New Roman"/>
          <w:lang w:val="en-GB"/>
        </w:rPr>
        <w:t xml:space="preserve">could </w:t>
      </w:r>
      <w:r w:rsidR="00BB2CE9">
        <w:rPr>
          <w:rFonts w:ascii="Times New Roman" w:hAnsi="Times New Roman" w:cs="Times New Roman"/>
          <w:lang w:val="en-GB"/>
        </w:rPr>
        <w:t xml:space="preserve">result in either </w:t>
      </w:r>
      <w:r w:rsidR="00EB2694">
        <w:rPr>
          <w:rFonts w:ascii="Times New Roman" w:hAnsi="Times New Roman" w:cs="Times New Roman"/>
          <w:lang w:val="en-GB"/>
        </w:rPr>
        <w:t>an overestimation or underestimation of the actual risk</w:t>
      </w:r>
      <w:r w:rsidR="0001602F">
        <w:rPr>
          <w:rFonts w:ascii="Times New Roman" w:hAnsi="Times New Roman" w:cs="Times New Roman"/>
          <w:lang w:val="en-GB"/>
        </w:rPr>
        <w:t>.</w:t>
      </w:r>
    </w:p>
    <w:p w14:paraId="484DBA25" w14:textId="3A095C86" w:rsidR="00EB2694" w:rsidRDefault="00EB2694" w:rsidP="005D19D2">
      <w:pPr>
        <w:spacing w:line="360" w:lineRule="auto"/>
        <w:jc w:val="both"/>
        <w:rPr>
          <w:rFonts w:ascii="Times New Roman" w:hAnsi="Times New Roman" w:cs="Times New Roman"/>
          <w:lang w:val="en-GB"/>
        </w:rPr>
      </w:pPr>
      <w:r>
        <w:rPr>
          <w:rFonts w:ascii="Times New Roman" w:hAnsi="Times New Roman" w:cs="Times New Roman"/>
          <w:lang w:val="en-GB"/>
        </w:rPr>
        <w:tab/>
      </w:r>
      <w:r w:rsidR="00F710B7">
        <w:rPr>
          <w:rFonts w:ascii="Times New Roman" w:hAnsi="Times New Roman" w:cs="Times New Roman"/>
          <w:lang w:val="en-GB"/>
        </w:rPr>
        <w:t xml:space="preserve">In this </w:t>
      </w:r>
      <w:r w:rsidR="00983619">
        <w:rPr>
          <w:rFonts w:ascii="Times New Roman" w:hAnsi="Times New Roman" w:cs="Times New Roman"/>
          <w:lang w:val="en-GB"/>
        </w:rPr>
        <w:t>regard</w:t>
      </w:r>
      <w:r w:rsidR="000079D8">
        <w:rPr>
          <w:rFonts w:ascii="Times New Roman" w:hAnsi="Times New Roman" w:cs="Times New Roman"/>
          <w:lang w:val="en-GB"/>
        </w:rPr>
        <w:t xml:space="preserve">, </w:t>
      </w:r>
      <w:r w:rsidR="00F00D7E">
        <w:rPr>
          <w:rFonts w:ascii="Times New Roman" w:hAnsi="Times New Roman" w:cs="Times New Roman"/>
          <w:lang w:val="en-GB"/>
        </w:rPr>
        <w:t>the sanitary alert</w:t>
      </w:r>
      <w:r w:rsidR="005470BF">
        <w:rPr>
          <w:rFonts w:ascii="Times New Roman" w:hAnsi="Times New Roman" w:cs="Times New Roman"/>
          <w:lang w:val="en-GB"/>
        </w:rPr>
        <w:t xml:space="preserve"> (Illustration 1)</w:t>
      </w:r>
      <w:r w:rsidR="00F00D7E">
        <w:rPr>
          <w:rFonts w:ascii="Times New Roman" w:hAnsi="Times New Roman" w:cs="Times New Roman"/>
          <w:lang w:val="en-GB"/>
        </w:rPr>
        <w:t xml:space="preserve"> issued by </w:t>
      </w:r>
      <w:r w:rsidR="003D5D1A">
        <w:rPr>
          <w:rFonts w:ascii="Times New Roman" w:hAnsi="Times New Roman" w:cs="Times New Roman"/>
          <w:lang w:val="en-GB"/>
        </w:rPr>
        <w:t>t</w:t>
      </w:r>
      <w:r w:rsidR="003D5D1A" w:rsidRPr="003D5D1A">
        <w:rPr>
          <w:rFonts w:ascii="Times New Roman" w:hAnsi="Times New Roman" w:cs="Times New Roman"/>
          <w:lang w:val="en-GB"/>
        </w:rPr>
        <w:t>he Federal Commission for Protection against Health Risks (C</w:t>
      </w:r>
      <w:r w:rsidR="003D5D1A">
        <w:rPr>
          <w:rFonts w:ascii="Times New Roman" w:hAnsi="Times New Roman" w:cs="Times New Roman"/>
          <w:lang w:val="en-GB"/>
        </w:rPr>
        <w:t xml:space="preserve">OFEPRIS), </w:t>
      </w:r>
      <w:r w:rsidR="00E73311">
        <w:rPr>
          <w:rFonts w:ascii="Times New Roman" w:hAnsi="Times New Roman" w:cs="Times New Roman"/>
          <w:lang w:val="en-GB"/>
        </w:rPr>
        <w:t xml:space="preserve">the Mexican health regulatory agency, </w:t>
      </w:r>
      <w:r w:rsidR="00F710B7">
        <w:rPr>
          <w:rFonts w:ascii="Times New Roman" w:hAnsi="Times New Roman" w:cs="Times New Roman"/>
          <w:lang w:val="en-GB"/>
        </w:rPr>
        <w:t>is a</w:t>
      </w:r>
      <w:r w:rsidR="003F2A0D">
        <w:rPr>
          <w:rFonts w:ascii="Times New Roman" w:hAnsi="Times New Roman" w:cs="Times New Roman"/>
          <w:lang w:val="en-GB"/>
        </w:rPr>
        <w:t xml:space="preserve">n </w:t>
      </w:r>
      <w:r w:rsidR="003F2A0D">
        <w:rPr>
          <w:rFonts w:ascii="Times New Roman" w:hAnsi="Times New Roman" w:cs="Times New Roman"/>
          <w:lang w:val="en-GB"/>
        </w:rPr>
        <w:lastRenderedPageBreak/>
        <w:t xml:space="preserve">accurate example of </w:t>
      </w:r>
      <w:r w:rsidR="00F06697">
        <w:rPr>
          <w:rFonts w:ascii="Times New Roman" w:hAnsi="Times New Roman" w:cs="Times New Roman"/>
          <w:lang w:val="en-GB"/>
        </w:rPr>
        <w:t xml:space="preserve">an alert based on international </w:t>
      </w:r>
      <w:r w:rsidR="001E04F0">
        <w:rPr>
          <w:rFonts w:ascii="Times New Roman" w:hAnsi="Times New Roman" w:cs="Times New Roman"/>
          <w:lang w:val="en-GB"/>
        </w:rPr>
        <w:t>evidence</w:t>
      </w:r>
      <w:r w:rsidR="000663CF">
        <w:rPr>
          <w:rFonts w:ascii="Times New Roman" w:hAnsi="Times New Roman" w:cs="Times New Roman"/>
          <w:lang w:val="en-GB"/>
        </w:rPr>
        <w:t xml:space="preserve"> that fails to </w:t>
      </w:r>
      <w:r w:rsidR="00D91FD8">
        <w:rPr>
          <w:rFonts w:ascii="Times New Roman" w:hAnsi="Times New Roman" w:cs="Times New Roman"/>
          <w:lang w:val="en-GB"/>
        </w:rPr>
        <w:t xml:space="preserve">provide </w:t>
      </w:r>
      <w:r w:rsidR="00C41307">
        <w:rPr>
          <w:rFonts w:ascii="Times New Roman" w:hAnsi="Times New Roman" w:cs="Times New Roman"/>
          <w:lang w:val="en-GB"/>
        </w:rPr>
        <w:t xml:space="preserve">relevant information for prescribing healthcare professionals, such as </w:t>
      </w:r>
      <w:r w:rsidR="00F8260A">
        <w:rPr>
          <w:rFonts w:ascii="Times New Roman" w:hAnsi="Times New Roman" w:cs="Times New Roman"/>
          <w:lang w:val="en-GB"/>
        </w:rPr>
        <w:t>a clear context and local</w:t>
      </w:r>
      <w:r w:rsidR="000663CF">
        <w:rPr>
          <w:rFonts w:ascii="Times New Roman" w:hAnsi="Times New Roman" w:cs="Times New Roman"/>
          <w:lang w:val="en-GB"/>
        </w:rPr>
        <w:t xml:space="preserve">ly available </w:t>
      </w:r>
      <w:r w:rsidR="00F8260A">
        <w:rPr>
          <w:rFonts w:ascii="Times New Roman" w:hAnsi="Times New Roman" w:cs="Times New Roman"/>
          <w:lang w:val="en-GB"/>
        </w:rPr>
        <w:t>data</w:t>
      </w:r>
      <w:r w:rsidR="000663CF">
        <w:rPr>
          <w:rFonts w:ascii="Times New Roman" w:hAnsi="Times New Roman" w:cs="Times New Roman"/>
          <w:lang w:val="en-GB"/>
        </w:rPr>
        <w:t xml:space="preserve"> </w:t>
      </w:r>
      <w:r w:rsidR="000663CF">
        <w:rPr>
          <w:rFonts w:ascii="Times New Roman" w:hAnsi="Times New Roman" w:cs="Times New Roman"/>
          <w:lang w:val="en-GB"/>
        </w:rPr>
        <w:fldChar w:fldCharType="begin"/>
      </w:r>
      <w:r w:rsidR="00017A06">
        <w:rPr>
          <w:rFonts w:ascii="Times New Roman" w:hAnsi="Times New Roman" w:cs="Times New Roman"/>
          <w:lang w:val="en-GB"/>
        </w:rPr>
        <w:instrText xml:space="preserve"> ADDIN ZOTERO_ITEM CSL_CITATION {"citationID":"ITZtiuWt","properties":{"formattedCitation":"(9,10)","plainCitation":"(9,10)","noteIndex":0},"citationItems":[{"id":222,"uris":["http://zotero.org/users/10068576/items/58E3K39E"],"itemData":{"id":222,"type":"article-journal","abstract":"Mexico is a member of the “International Program for Monitoring Adverse Drug Reactions” of the World Health Organization and, through the National Pharmacovigilance Center, it promotes actions regarding drug safety that contribute to the well-being of patients and their rational use. The evaluation of the safety profile of cephalosporins marketed in Mexico allowed us to identify that the risk of seizures and predisposing factors were not described in the prescribing information of some of them, so COFEPRIS implemented a series of measures to minimize this risk.","container-title":"Revista Mexicana de Política Exterior","ISSN":"2594-2441","issue":"129","language":"en","license":"Derechos de autor 2024 SRE","page":"87-98","source":"re.sre.gob.mx","title":"Risk of Seizures Associated with the Use of Antibiotics from the Cephalosporin Group","author":[{"family":"Svarch","given":"Alejandro E."},{"family":"Rosales","given":"Miriam Jackeline Loera"},{"family":"Arceo","given":"Diana Edith Sánchez"},{"family":"Quintana","given":"Rogelio Ríos"},{"family":"Badillo","given":"Mayte Guadalupe Cervantes"}],"issued":{"date-parts":[["2024",9,26]]}}},{"id":235,"uris":["http://zotero.org/users/10068576/items/8BEA6CK4"],"itemData":{"id":235,"type":"webpage","abstract":"Comunicado de prensa 106/2023","container-title":"Gobierno de México","language":"es","title":"Cofepris alerta sobre prescripción de medicamentos con cefalosporinas","URL":"http://www.gob.mx/cofepris/articulos/cofepris-alerta-sobre-prescripcion-de-medicamentos-con-cefalosporinas?idiom=es","author":[{"literal":"Comisión Federal para la Protección Contra Riesgos Sanitarios"}],"accessed":{"date-parts":[["2025",11,10]]},"issued":{"date-parts":[["2023",10,3]]}}}],"schema":"https://github.com/citation-style-language/schema/raw/master/csl-citation.json"} </w:instrText>
      </w:r>
      <w:r w:rsidR="000663CF">
        <w:rPr>
          <w:rFonts w:ascii="Times New Roman" w:hAnsi="Times New Roman" w:cs="Times New Roman"/>
          <w:lang w:val="en-GB"/>
        </w:rPr>
        <w:fldChar w:fldCharType="separate"/>
      </w:r>
      <w:r w:rsidR="00017A06">
        <w:rPr>
          <w:rFonts w:ascii="Times New Roman" w:hAnsi="Times New Roman" w:cs="Times New Roman"/>
          <w:noProof/>
          <w:lang w:val="en-GB"/>
        </w:rPr>
        <w:t>(9,10)</w:t>
      </w:r>
      <w:r w:rsidR="000663CF">
        <w:rPr>
          <w:rFonts w:ascii="Times New Roman" w:hAnsi="Times New Roman" w:cs="Times New Roman"/>
          <w:lang w:val="en-GB"/>
        </w:rPr>
        <w:fldChar w:fldCharType="end"/>
      </w:r>
      <w:r w:rsidR="00F8260A">
        <w:rPr>
          <w:rFonts w:ascii="Times New Roman" w:hAnsi="Times New Roman" w:cs="Times New Roman"/>
          <w:lang w:val="en-GB"/>
        </w:rPr>
        <w:t>.</w:t>
      </w:r>
      <w:r w:rsidR="00814513">
        <w:rPr>
          <w:rFonts w:ascii="Times New Roman" w:hAnsi="Times New Roman" w:cs="Times New Roman"/>
          <w:lang w:val="en-GB"/>
        </w:rPr>
        <w:t xml:space="preserve"> </w:t>
      </w:r>
      <w:r w:rsidR="00CE692D">
        <w:rPr>
          <w:rFonts w:ascii="Times New Roman" w:hAnsi="Times New Roman" w:cs="Times New Roman"/>
          <w:lang w:val="en-GB"/>
        </w:rPr>
        <w:t>Similarly</w:t>
      </w:r>
      <w:r w:rsidR="00B33105">
        <w:rPr>
          <w:rFonts w:ascii="Times New Roman" w:hAnsi="Times New Roman" w:cs="Times New Roman"/>
          <w:lang w:val="en-GB"/>
        </w:rPr>
        <w:t xml:space="preserve">, other </w:t>
      </w:r>
      <w:r w:rsidR="00B42FF6">
        <w:rPr>
          <w:rFonts w:ascii="Times New Roman" w:hAnsi="Times New Roman" w:cs="Times New Roman"/>
          <w:lang w:val="en-GB"/>
        </w:rPr>
        <w:t>low- and middle-income</w:t>
      </w:r>
      <w:r w:rsidR="00B33105">
        <w:rPr>
          <w:rFonts w:ascii="Times New Roman" w:hAnsi="Times New Roman" w:cs="Times New Roman"/>
          <w:lang w:val="en-GB"/>
        </w:rPr>
        <w:t xml:space="preserve"> countries</w:t>
      </w:r>
      <w:r w:rsidR="00174D88">
        <w:rPr>
          <w:rFonts w:ascii="Times New Roman" w:hAnsi="Times New Roman" w:cs="Times New Roman"/>
          <w:lang w:val="en-GB"/>
        </w:rPr>
        <w:t xml:space="preserve"> also face challenges </w:t>
      </w:r>
      <w:r w:rsidR="00D26A30">
        <w:rPr>
          <w:rFonts w:ascii="Times New Roman" w:hAnsi="Times New Roman" w:cs="Times New Roman"/>
          <w:lang w:val="en-GB"/>
        </w:rPr>
        <w:t>related</w:t>
      </w:r>
      <w:r w:rsidR="00174D88">
        <w:rPr>
          <w:rFonts w:ascii="Times New Roman" w:hAnsi="Times New Roman" w:cs="Times New Roman"/>
          <w:lang w:val="en-GB"/>
        </w:rPr>
        <w:t xml:space="preserve"> </w:t>
      </w:r>
      <w:r w:rsidR="00D77316">
        <w:rPr>
          <w:rFonts w:ascii="Times New Roman" w:hAnsi="Times New Roman" w:cs="Times New Roman"/>
          <w:lang w:val="en-GB"/>
        </w:rPr>
        <w:t xml:space="preserve">misinformation, as pharmacovigilance </w:t>
      </w:r>
      <w:r w:rsidR="00D26A30">
        <w:rPr>
          <w:rFonts w:ascii="Times New Roman" w:hAnsi="Times New Roman" w:cs="Times New Roman"/>
          <w:lang w:val="en-GB"/>
        </w:rPr>
        <w:t>agencies often</w:t>
      </w:r>
      <w:r w:rsidR="00D77316">
        <w:rPr>
          <w:rFonts w:ascii="Times New Roman" w:hAnsi="Times New Roman" w:cs="Times New Roman"/>
          <w:lang w:val="en-GB"/>
        </w:rPr>
        <w:t xml:space="preserve"> do not provide </w:t>
      </w:r>
      <w:r w:rsidR="00D26A30">
        <w:rPr>
          <w:rFonts w:ascii="Times New Roman" w:hAnsi="Times New Roman" w:cs="Times New Roman"/>
          <w:lang w:val="en-GB"/>
        </w:rPr>
        <w:t>healthcare</w:t>
      </w:r>
      <w:r w:rsidR="00D77316">
        <w:rPr>
          <w:rFonts w:ascii="Times New Roman" w:hAnsi="Times New Roman" w:cs="Times New Roman"/>
          <w:lang w:val="en-GB"/>
        </w:rPr>
        <w:t xml:space="preserve"> professionals with the regional data</w:t>
      </w:r>
      <w:r w:rsidR="001D64C2">
        <w:rPr>
          <w:rFonts w:ascii="Times New Roman" w:hAnsi="Times New Roman" w:cs="Times New Roman"/>
          <w:lang w:val="en-GB"/>
        </w:rPr>
        <w:t xml:space="preserve">, </w:t>
      </w:r>
      <w:r w:rsidR="00D97395">
        <w:rPr>
          <w:rFonts w:ascii="Times New Roman" w:hAnsi="Times New Roman" w:cs="Times New Roman"/>
          <w:lang w:val="en-GB"/>
        </w:rPr>
        <w:t xml:space="preserve">thereby </w:t>
      </w:r>
      <w:r w:rsidR="001D64C2">
        <w:rPr>
          <w:rFonts w:ascii="Times New Roman" w:hAnsi="Times New Roman" w:cs="Times New Roman"/>
          <w:lang w:val="en-GB"/>
        </w:rPr>
        <w:t xml:space="preserve">increasing the risk of </w:t>
      </w:r>
      <w:r w:rsidR="00D97395">
        <w:rPr>
          <w:rFonts w:ascii="Times New Roman" w:hAnsi="Times New Roman" w:cs="Times New Roman"/>
          <w:lang w:val="en-GB"/>
        </w:rPr>
        <w:t>inadequate</w:t>
      </w:r>
      <w:r w:rsidR="001D64C2">
        <w:rPr>
          <w:rFonts w:ascii="Times New Roman" w:hAnsi="Times New Roman" w:cs="Times New Roman"/>
          <w:lang w:val="en-GB"/>
        </w:rPr>
        <w:t xml:space="preserve"> prescri</w:t>
      </w:r>
      <w:r w:rsidR="00D97395">
        <w:rPr>
          <w:rFonts w:ascii="Times New Roman" w:hAnsi="Times New Roman" w:cs="Times New Roman"/>
          <w:lang w:val="en-GB"/>
        </w:rPr>
        <w:t>bing decision</w:t>
      </w:r>
      <w:r w:rsidR="004F2A8A">
        <w:rPr>
          <w:rFonts w:ascii="Times New Roman" w:hAnsi="Times New Roman" w:cs="Times New Roman"/>
          <w:lang w:val="en-GB"/>
        </w:rPr>
        <w:t>s</w:t>
      </w:r>
      <w:r w:rsidR="001D64C2">
        <w:rPr>
          <w:rFonts w:ascii="Times New Roman" w:hAnsi="Times New Roman" w:cs="Times New Roman"/>
          <w:lang w:val="en-GB"/>
        </w:rPr>
        <w:t>.</w:t>
      </w:r>
    </w:p>
    <w:p w14:paraId="5649E1A7" w14:textId="26CC73E8" w:rsidR="005470BF" w:rsidRDefault="000A6A67" w:rsidP="005D19D2">
      <w:pPr>
        <w:spacing w:line="360" w:lineRule="auto"/>
        <w:jc w:val="both"/>
        <w:rPr>
          <w:rFonts w:ascii="Times New Roman" w:hAnsi="Times New Roman" w:cs="Times New Roman"/>
          <w:lang w:val="en-GB"/>
        </w:rPr>
      </w:pPr>
      <w:r>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0C87498D" wp14:editId="72427376">
                <wp:simplePos x="0" y="0"/>
                <wp:positionH relativeFrom="column">
                  <wp:posOffset>868981</wp:posOffset>
                </wp:positionH>
                <wp:positionV relativeFrom="paragraph">
                  <wp:posOffset>3977005</wp:posOffset>
                </wp:positionV>
                <wp:extent cx="3956872" cy="489284"/>
                <wp:effectExtent l="0" t="0" r="5715" b="6350"/>
                <wp:wrapNone/>
                <wp:docPr id="915179064" name="Cuadro de texto 1"/>
                <wp:cNvGraphicFramePr/>
                <a:graphic xmlns:a="http://schemas.openxmlformats.org/drawingml/2006/main">
                  <a:graphicData uri="http://schemas.microsoft.com/office/word/2010/wordprocessingShape">
                    <wps:wsp>
                      <wps:cNvSpPr txBox="1"/>
                      <wps:spPr>
                        <a:xfrm>
                          <a:off x="0" y="0"/>
                          <a:ext cx="3956872" cy="489284"/>
                        </a:xfrm>
                        <a:prstGeom prst="rect">
                          <a:avLst/>
                        </a:prstGeom>
                        <a:solidFill>
                          <a:schemeClr val="lt1"/>
                        </a:solidFill>
                        <a:ln w="6350">
                          <a:noFill/>
                        </a:ln>
                      </wps:spPr>
                      <wps:txbx>
                        <w:txbxContent>
                          <w:p w14:paraId="68B7BE37" w14:textId="05B44D8B" w:rsidR="000A6A67" w:rsidRPr="00B43E10" w:rsidRDefault="000A6A67" w:rsidP="00B43E10">
                            <w:pPr>
                              <w:jc w:val="center"/>
                              <w:rPr>
                                <w:rFonts w:ascii="Times New Roman" w:hAnsi="Times New Roman" w:cs="Times New Roman"/>
                                <w:sz w:val="22"/>
                                <w:szCs w:val="22"/>
                                <w:lang w:val="en-GB"/>
                              </w:rPr>
                            </w:pPr>
                            <w:r w:rsidRPr="00B43E10">
                              <w:rPr>
                                <w:rFonts w:ascii="Times New Roman" w:hAnsi="Times New Roman" w:cs="Times New Roman"/>
                                <w:i/>
                                <w:iCs/>
                                <w:sz w:val="22"/>
                                <w:szCs w:val="22"/>
                                <w:lang w:val="en-GB"/>
                              </w:rPr>
                              <w:t>Illustration 1</w:t>
                            </w:r>
                            <w:r w:rsidRPr="00B43E10">
                              <w:rPr>
                                <w:rFonts w:ascii="Times New Roman" w:hAnsi="Times New Roman" w:cs="Times New Roman"/>
                                <w:sz w:val="22"/>
                                <w:szCs w:val="22"/>
                                <w:lang w:val="en-GB"/>
                              </w:rPr>
                              <w:t xml:space="preserve">: </w:t>
                            </w:r>
                            <w:r w:rsidR="006F2A6A" w:rsidRPr="00B43E10">
                              <w:rPr>
                                <w:rFonts w:ascii="Times New Roman" w:hAnsi="Times New Roman" w:cs="Times New Roman"/>
                                <w:sz w:val="22"/>
                                <w:szCs w:val="22"/>
                                <w:lang w:val="en-GB"/>
                              </w:rPr>
                              <w:t xml:space="preserve">Sanitary alert issued by COFEPRIS concerning </w:t>
                            </w:r>
                            <w:r w:rsidR="00B43E10" w:rsidRPr="00B43E10">
                              <w:rPr>
                                <w:rFonts w:ascii="Times New Roman" w:hAnsi="Times New Roman" w:cs="Times New Roman"/>
                                <w:sz w:val="22"/>
                                <w:szCs w:val="22"/>
                                <w:lang w:val="en-GB"/>
                              </w:rPr>
                              <w:t>risk associated to cephalosporins</w:t>
                            </w:r>
                            <w:r w:rsidR="00992F50">
                              <w:rPr>
                                <w:rFonts w:ascii="Times New Roman" w:hAnsi="Times New Roman" w:cs="Times New Roman"/>
                                <w:sz w:val="22"/>
                                <w:szCs w:val="22"/>
                                <w:lang w:val="en-GB"/>
                              </w:rPr>
                              <w:t xml:space="preserve"> [</w:t>
                            </w:r>
                            <w:r w:rsidR="00B43452">
                              <w:rPr>
                                <w:rFonts w:ascii="Times New Roman" w:hAnsi="Times New Roman" w:cs="Times New Roman"/>
                                <w:sz w:val="22"/>
                                <w:szCs w:val="22"/>
                                <w:lang w:val="en-GB"/>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C87498D" id="_x0000_t202" coordsize="21600,21600" o:spt="202" path="m,l,21600r21600,l21600,xe">
                <v:stroke joinstyle="miter"/>
                <v:path gradientshapeok="t" o:connecttype="rect"/>
              </v:shapetype>
              <v:shape id="Cuadro de texto 1" o:spid="_x0000_s1026" type="#_x0000_t202" style="position:absolute;left:0;text-align:left;margin-left:68.4pt;margin-top:313.15pt;width:311.55pt;height:38.5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" fillcolor="white [3201]" stroked="f" strokeweight=".5pt">
                <v:textbox>
                  <w:txbxContent>
                    <w:p w14:paraId="68B7BE37" w14:textId="05B44D8B" w:rsidR="000A6A67" w:rsidRPr="00B43E10" w:rsidRDefault="000A6A67" w:rsidP="00B43E10">
                      <w:pPr>
                        <w:jc w:val="center"/>
                        <w:rPr>
                          <w:rFonts w:ascii="Times New Roman" w:hAnsi="Times New Roman" w:cs="Times New Roman"/>
                          <w:sz w:val="22"/>
                          <w:szCs w:val="22"/>
                          <w:lang w:val="en-GB"/>
                        </w:rPr>
                      </w:pPr>
                      <w:r w:rsidRPr="00B43E10">
                        <w:rPr>
                          <w:rFonts w:ascii="Times New Roman" w:hAnsi="Times New Roman" w:cs="Times New Roman"/>
                          <w:i/>
                          <w:iCs/>
                          <w:sz w:val="22"/>
                          <w:szCs w:val="22"/>
                          <w:lang w:val="en-GB"/>
                        </w:rPr>
                        <w:t>Illustration 1</w:t>
                      </w:r>
                      <w:r w:rsidRPr="00B43E10">
                        <w:rPr>
                          <w:rFonts w:ascii="Times New Roman" w:hAnsi="Times New Roman" w:cs="Times New Roman"/>
                          <w:sz w:val="22"/>
                          <w:szCs w:val="22"/>
                          <w:lang w:val="en-GB"/>
                        </w:rPr>
                        <w:t xml:space="preserve">: </w:t>
                      </w:r>
                      <w:r w:rsidR="006F2A6A" w:rsidRPr="00B43E10">
                        <w:rPr>
                          <w:rFonts w:ascii="Times New Roman" w:hAnsi="Times New Roman" w:cs="Times New Roman"/>
                          <w:sz w:val="22"/>
                          <w:szCs w:val="22"/>
                          <w:lang w:val="en-GB"/>
                        </w:rPr>
                        <w:t xml:space="preserve">Sanitary alert issued by COFEPRIS concerning </w:t>
                      </w:r>
                      <w:r w:rsidR="00B43E10" w:rsidRPr="00B43E10">
                        <w:rPr>
                          <w:rFonts w:ascii="Times New Roman" w:hAnsi="Times New Roman" w:cs="Times New Roman"/>
                          <w:sz w:val="22"/>
                          <w:szCs w:val="22"/>
                          <w:lang w:val="en-GB"/>
                        </w:rPr>
                        <w:t>risk associated to cephalosporins</w:t>
                      </w:r>
                      <w:r w:rsidR="00992F50">
                        <w:rPr>
                          <w:rFonts w:ascii="Times New Roman" w:hAnsi="Times New Roman" w:cs="Times New Roman"/>
                          <w:sz w:val="22"/>
                          <w:szCs w:val="22"/>
                          <w:lang w:val="en-GB"/>
                        </w:rPr>
                        <w:t xml:space="preserve"> [</w:t>
                      </w:r>
                      <w:r w:rsidR="00B43452">
                        <w:rPr>
                          <w:rFonts w:ascii="Times New Roman" w:hAnsi="Times New Roman" w:cs="Times New Roman"/>
                          <w:sz w:val="22"/>
                          <w:szCs w:val="22"/>
                          <w:lang w:val="en-GB"/>
                        </w:rPr>
                        <w:t>10]</w:t>
                      </w:r>
                    </w:p>
                  </w:txbxContent>
                </v:textbox>
              </v:shape>
            </w:pict>
          </mc:Fallback>
        </mc:AlternateContent>
      </w:r>
      <w:r w:rsidR="001C25CC" w:rsidRPr="001C25CC">
        <w:rPr>
          <w:rFonts w:ascii="Times New Roman" w:hAnsi="Times New Roman" w:cs="Times New Roman"/>
          <w:noProof/>
        </w:rPr>
        <w:drawing>
          <wp:anchor distT="0" distB="0" distL="114300" distR="114300" simplePos="0" relativeHeight="251658240" behindDoc="0" locked="0" layoutInCell="1" allowOverlap="1" wp14:anchorId="2A55B0B7" wp14:editId="417E7CFF">
            <wp:simplePos x="0" y="0"/>
            <wp:positionH relativeFrom="margin">
              <wp:align>center</wp:align>
            </wp:positionH>
            <wp:positionV relativeFrom="paragraph">
              <wp:posOffset>3810</wp:posOffset>
            </wp:positionV>
            <wp:extent cx="3874363" cy="3874363"/>
            <wp:effectExtent l="12700" t="12700" r="12065" b="12065"/>
            <wp:wrapTopAndBottom/>
            <wp:docPr id="2050" name="Picture 2">
              <a:extLst xmlns:a="http://schemas.openxmlformats.org/drawingml/2006/main">
                <a:ext uri="{FF2B5EF4-FFF2-40B4-BE49-F238E27FC236}">
                  <a16:creationId xmlns:a16="http://schemas.microsoft.com/office/drawing/2014/main" id="{90F3279A-F5EB-FCB0-99BB-F5084F72BE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90F3279A-F5EB-FCB0-99BB-F5084F72BEDF}"/>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4363" cy="3874363"/>
                    </a:xfrm>
                    <a:prstGeom prst="rect">
                      <a:avLst/>
                    </a:prstGeom>
                    <a:noFill/>
                    <a:ln>
                      <a:solidFill>
                        <a:schemeClr val="bg2">
                          <a:lumMod val="90000"/>
                        </a:schemeClr>
                      </a:solidFill>
                    </a:ln>
                  </pic:spPr>
                </pic:pic>
              </a:graphicData>
            </a:graphic>
            <wp14:sizeRelH relativeFrom="page">
              <wp14:pctWidth>0</wp14:pctWidth>
            </wp14:sizeRelH>
            <wp14:sizeRelV relativeFrom="page">
              <wp14:pctHeight>0</wp14:pctHeight>
            </wp14:sizeRelV>
          </wp:anchor>
        </w:drawing>
      </w:r>
    </w:p>
    <w:p w14:paraId="662C50D8" w14:textId="77777777" w:rsidR="000A6A67" w:rsidRDefault="00D97395" w:rsidP="005D19D2">
      <w:pPr>
        <w:spacing w:line="360" w:lineRule="auto"/>
        <w:jc w:val="both"/>
        <w:rPr>
          <w:rFonts w:ascii="Times New Roman" w:hAnsi="Times New Roman" w:cs="Times New Roman"/>
          <w:lang w:val="en-GB"/>
        </w:rPr>
      </w:pPr>
      <w:r>
        <w:rPr>
          <w:rFonts w:ascii="Times New Roman" w:hAnsi="Times New Roman" w:cs="Times New Roman"/>
          <w:lang w:val="en-GB"/>
        </w:rPr>
        <w:tab/>
      </w:r>
    </w:p>
    <w:p w14:paraId="72D2E652" w14:textId="77777777" w:rsidR="00B43E10" w:rsidRDefault="00B43E10" w:rsidP="005D19D2">
      <w:pPr>
        <w:spacing w:line="360" w:lineRule="auto"/>
        <w:jc w:val="both"/>
        <w:rPr>
          <w:rFonts w:ascii="Times New Roman" w:hAnsi="Times New Roman" w:cs="Times New Roman"/>
          <w:lang w:val="en-GB"/>
        </w:rPr>
      </w:pPr>
    </w:p>
    <w:p w14:paraId="3BADC0E8" w14:textId="2E22AB3D" w:rsidR="00D97395" w:rsidRPr="00E92F67" w:rsidRDefault="00397BEB" w:rsidP="002B3ACB">
      <w:pPr>
        <w:spacing w:line="360" w:lineRule="auto"/>
        <w:ind w:firstLine="708"/>
        <w:jc w:val="both"/>
        <w:rPr>
          <w:rFonts w:ascii="Times New Roman" w:hAnsi="Times New Roman" w:cs="Times New Roman"/>
          <w:lang w:val="en-GB"/>
        </w:rPr>
      </w:pPr>
      <w:r w:rsidRPr="00397BEB">
        <w:rPr>
          <w:rFonts w:ascii="Times New Roman" w:hAnsi="Times New Roman" w:cs="Times New Roman"/>
          <w:lang w:val="en-GB"/>
        </w:rPr>
        <w:t xml:space="preserve">Moreover, in many low- and middle-income countries, such non-specific alerts create uncertainty among prescribing physicians. The availability of </w:t>
      </w:r>
      <w:r>
        <w:rPr>
          <w:rFonts w:ascii="Times New Roman" w:hAnsi="Times New Roman" w:cs="Times New Roman"/>
          <w:lang w:val="en-GB"/>
        </w:rPr>
        <w:t>specific</w:t>
      </w:r>
      <w:r w:rsidRPr="00397BEB">
        <w:rPr>
          <w:rFonts w:ascii="Times New Roman" w:hAnsi="Times New Roman" w:cs="Times New Roman"/>
          <w:lang w:val="en-GB"/>
        </w:rPr>
        <w:t xml:space="preserve"> cephalosporins differs by region, and the alert’s reference to the entire drug class</w:t>
      </w:r>
      <w:r>
        <w:rPr>
          <w:rFonts w:ascii="Times New Roman" w:hAnsi="Times New Roman" w:cs="Times New Roman"/>
          <w:lang w:val="en-GB"/>
        </w:rPr>
        <w:t xml:space="preserve">, </w:t>
      </w:r>
      <w:r w:rsidRPr="00397BEB">
        <w:rPr>
          <w:rFonts w:ascii="Times New Roman" w:hAnsi="Times New Roman" w:cs="Times New Roman"/>
          <w:lang w:val="en-GB"/>
        </w:rPr>
        <w:t xml:space="preserve">without distinguishing risk by molecule, dose, age, or </w:t>
      </w:r>
      <w:r w:rsidR="002F7690">
        <w:rPr>
          <w:rFonts w:ascii="Times New Roman" w:hAnsi="Times New Roman" w:cs="Times New Roman"/>
          <w:lang w:val="en-GB"/>
        </w:rPr>
        <w:t xml:space="preserve">patient’s </w:t>
      </w:r>
      <w:r w:rsidRPr="00397BEB">
        <w:rPr>
          <w:rFonts w:ascii="Times New Roman" w:hAnsi="Times New Roman" w:cs="Times New Roman"/>
          <w:lang w:val="en-GB"/>
        </w:rPr>
        <w:t>renal function</w:t>
      </w:r>
      <w:r>
        <w:rPr>
          <w:rFonts w:ascii="Times New Roman" w:hAnsi="Times New Roman" w:cs="Times New Roman"/>
          <w:lang w:val="en-GB"/>
        </w:rPr>
        <w:t xml:space="preserve">, </w:t>
      </w:r>
      <w:r w:rsidRPr="00397BEB">
        <w:rPr>
          <w:rFonts w:ascii="Times New Roman" w:hAnsi="Times New Roman" w:cs="Times New Roman"/>
          <w:lang w:val="en-GB"/>
        </w:rPr>
        <w:t>limits its practical value. Lacking local evidence, physicians may question whether the warning reflects a real regional concern or data from other contexts, potentially leading to the unnecessary avoidance of safe and effective agents and the use of less appropriate or more costly alternatives</w:t>
      </w:r>
      <w:r w:rsidR="467D22B2" w:rsidRPr="00397BEB">
        <w:rPr>
          <w:rFonts w:ascii="Times New Roman" w:hAnsi="Times New Roman" w:cs="Times New Roman"/>
          <w:lang w:val="en-GB"/>
        </w:rPr>
        <w:t>.</w:t>
      </w:r>
    </w:p>
    <w:p w14:paraId="47C0063B" w14:textId="77777777" w:rsidR="009E6B90" w:rsidRDefault="009E6B90" w:rsidP="005D19D2">
      <w:pPr>
        <w:spacing w:line="360" w:lineRule="auto"/>
        <w:jc w:val="both"/>
        <w:rPr>
          <w:rFonts w:ascii="Times New Roman" w:hAnsi="Times New Roman" w:cs="Times New Roman"/>
          <w:b/>
          <w:bCs/>
          <w:lang w:val="en-GB"/>
        </w:rPr>
      </w:pPr>
    </w:p>
    <w:p w14:paraId="2AE96DA6" w14:textId="66EFF0F8" w:rsidR="00F20AEE" w:rsidRPr="00691E31" w:rsidRDefault="467D22B2" w:rsidP="005D19D2">
      <w:pPr>
        <w:spacing w:line="360" w:lineRule="auto"/>
        <w:jc w:val="both"/>
      </w:pPr>
      <w:r w:rsidRPr="663F1D89">
        <w:rPr>
          <w:rFonts w:ascii="Times New Roman" w:hAnsi="Times New Roman" w:cs="Times New Roman"/>
          <w:b/>
          <w:bCs/>
          <w:lang w:val="en-GB"/>
        </w:rPr>
        <w:t xml:space="preserve">Stakeholders </w:t>
      </w:r>
      <w:r w:rsidRPr="2C8C24E4">
        <w:rPr>
          <w:rFonts w:ascii="Times New Roman" w:hAnsi="Times New Roman" w:cs="Times New Roman"/>
          <w:b/>
          <w:bCs/>
          <w:lang w:val="en-GB"/>
        </w:rPr>
        <w:t>involved</w:t>
      </w:r>
    </w:p>
    <w:p w14:paraId="361AA202" w14:textId="76CC328F" w:rsidR="00F20AEE" w:rsidRPr="00691E31" w:rsidRDefault="467D22B2" w:rsidP="00D93153">
      <w:pPr>
        <w:pStyle w:val="ListParagraph"/>
        <w:numPr>
          <w:ilvl w:val="0"/>
          <w:numId w:val="10"/>
        </w:numPr>
        <w:spacing w:line="360" w:lineRule="auto"/>
        <w:jc w:val="both"/>
      </w:pPr>
      <w:r w:rsidRPr="00D93153">
        <w:rPr>
          <w:rFonts w:ascii="Times" w:eastAsia="Times" w:hAnsi="Times" w:cs="Times"/>
          <w:lang w:val="en-GB"/>
        </w:rPr>
        <w:t>Prescribers, physicians</w:t>
      </w:r>
      <w:r w:rsidR="00D00B8F" w:rsidRPr="00D93153">
        <w:rPr>
          <w:rFonts w:ascii="Times" w:eastAsia="Times" w:hAnsi="Times" w:cs="Times"/>
          <w:lang w:val="en-GB"/>
        </w:rPr>
        <w:t xml:space="preserve"> and</w:t>
      </w:r>
      <w:r w:rsidRPr="00D93153">
        <w:rPr>
          <w:rFonts w:ascii="Times" w:eastAsia="Times" w:hAnsi="Times" w:cs="Times"/>
          <w:lang w:val="en-GB"/>
        </w:rPr>
        <w:t xml:space="preserve"> health care practitioners</w:t>
      </w:r>
    </w:p>
    <w:p w14:paraId="1304DA71" w14:textId="1A613E2B" w:rsidR="00F20AEE" w:rsidRPr="00D93153" w:rsidRDefault="467D22B2" w:rsidP="00D93153">
      <w:pPr>
        <w:pStyle w:val="ListParagraph"/>
        <w:numPr>
          <w:ilvl w:val="0"/>
          <w:numId w:val="10"/>
        </w:numPr>
        <w:spacing w:line="360" w:lineRule="auto"/>
        <w:jc w:val="both"/>
        <w:rPr>
          <w:rFonts w:ascii="Times" w:eastAsia="Times" w:hAnsi="Times" w:cs="Times"/>
          <w:lang w:val="en-GB"/>
        </w:rPr>
      </w:pPr>
      <w:r w:rsidRPr="00D93153">
        <w:rPr>
          <w:rFonts w:ascii="Times" w:eastAsia="Times" w:hAnsi="Times" w:cs="Times"/>
          <w:lang w:val="en-GB"/>
        </w:rPr>
        <w:t>Regulatory agencies</w:t>
      </w:r>
    </w:p>
    <w:p w14:paraId="778D18A1" w14:textId="76E11B63" w:rsidR="00F20AEE" w:rsidRPr="00D93153" w:rsidRDefault="467D22B2" w:rsidP="00D93153">
      <w:pPr>
        <w:pStyle w:val="ListParagraph"/>
        <w:numPr>
          <w:ilvl w:val="0"/>
          <w:numId w:val="10"/>
        </w:numPr>
        <w:spacing w:line="360" w:lineRule="auto"/>
        <w:jc w:val="both"/>
        <w:rPr>
          <w:rFonts w:ascii="Times" w:eastAsia="Times" w:hAnsi="Times" w:cs="Times"/>
          <w:lang w:val="en-GB"/>
        </w:rPr>
      </w:pPr>
      <w:r w:rsidRPr="00D93153">
        <w:rPr>
          <w:rFonts w:ascii="Times" w:eastAsia="Times" w:hAnsi="Times" w:cs="Times"/>
          <w:lang w:val="en-GB"/>
        </w:rPr>
        <w:t>Patients</w:t>
      </w:r>
      <w:r w:rsidR="00D00B8F" w:rsidRPr="00D93153">
        <w:rPr>
          <w:rFonts w:ascii="Times" w:eastAsia="Times" w:hAnsi="Times" w:cs="Times"/>
          <w:lang w:val="en-GB"/>
        </w:rPr>
        <w:t xml:space="preserve"> and </w:t>
      </w:r>
      <w:r w:rsidRPr="00D93153">
        <w:rPr>
          <w:rFonts w:ascii="Times" w:eastAsia="Times" w:hAnsi="Times" w:cs="Times"/>
          <w:lang w:val="en-GB"/>
        </w:rPr>
        <w:t>consumers</w:t>
      </w:r>
    </w:p>
    <w:p w14:paraId="4C543EFA" w14:textId="77777777" w:rsidR="005D19D2" w:rsidRDefault="005D19D2" w:rsidP="005D19D2">
      <w:pPr>
        <w:spacing w:line="360" w:lineRule="auto"/>
        <w:jc w:val="both"/>
        <w:rPr>
          <w:rFonts w:ascii="Times New Roman" w:hAnsi="Times New Roman" w:cs="Times New Roman"/>
          <w:b/>
          <w:bCs/>
          <w:lang w:val="en-GB"/>
        </w:rPr>
      </w:pPr>
    </w:p>
    <w:p w14:paraId="3D4496A3" w14:textId="7A633E26" w:rsidR="00F20AEE" w:rsidRPr="00691E31" w:rsidRDefault="00691E31" w:rsidP="005D19D2">
      <w:pPr>
        <w:spacing w:line="360" w:lineRule="auto"/>
        <w:jc w:val="both"/>
        <w:rPr>
          <w:rFonts w:ascii="Times New Roman" w:hAnsi="Times New Roman" w:cs="Times New Roman"/>
          <w:lang w:val="en-GB"/>
        </w:rPr>
      </w:pPr>
      <w:r>
        <w:rPr>
          <w:rFonts w:ascii="Times New Roman" w:hAnsi="Times New Roman" w:cs="Times New Roman"/>
          <w:b/>
          <w:bCs/>
          <w:lang w:val="en-GB"/>
        </w:rPr>
        <w:t>Proposal</w:t>
      </w:r>
    </w:p>
    <w:p w14:paraId="22588B79" w14:textId="3B2CB001" w:rsidR="00195655" w:rsidRPr="00E265E0" w:rsidRDefault="1496CA62" w:rsidP="005D19D2">
      <w:pPr>
        <w:spacing w:line="360" w:lineRule="auto"/>
        <w:jc w:val="both"/>
        <w:rPr>
          <w:rFonts w:ascii="Times New Roman" w:eastAsia="Times" w:hAnsi="Times New Roman" w:cs="Times New Roman"/>
          <w:lang w:val="en-GB"/>
        </w:rPr>
      </w:pPr>
      <w:r w:rsidRPr="156D4083">
        <w:rPr>
          <w:rFonts w:ascii="Times" w:eastAsia="Times" w:hAnsi="Times" w:cs="Times"/>
          <w:lang w:val="en-GB"/>
        </w:rPr>
        <w:t xml:space="preserve">We propose the development and implementation of a clinical decision support system (CDSS) designed to provide patient-specific risk stratification for cephalosporin-induced </w:t>
      </w:r>
      <w:r w:rsidR="001C1F94">
        <w:rPr>
          <w:rFonts w:ascii="Times" w:eastAsia="Times" w:hAnsi="Times" w:cs="Times"/>
          <w:lang w:val="en-GB"/>
        </w:rPr>
        <w:t>adverse effects</w:t>
      </w:r>
      <w:r w:rsidRPr="156D4083">
        <w:rPr>
          <w:rFonts w:ascii="Times" w:eastAsia="Times" w:hAnsi="Times" w:cs="Times"/>
          <w:lang w:val="en-GB"/>
        </w:rPr>
        <w:t xml:space="preserve">. This system addresses the ambiguity of general health alerts by integrating two distinct analytical approaches—a traditional </w:t>
      </w:r>
      <w:r w:rsidR="00C13E11" w:rsidRPr="156D4083">
        <w:rPr>
          <w:rFonts w:ascii="Times" w:eastAsia="Times" w:hAnsi="Times" w:cs="Times"/>
          <w:lang w:val="en-GB"/>
        </w:rPr>
        <w:t>pharmacoepidemiologic</w:t>
      </w:r>
      <w:r w:rsidRPr="156D4083">
        <w:rPr>
          <w:rFonts w:ascii="Times" w:eastAsia="Times" w:hAnsi="Times" w:cs="Times"/>
          <w:lang w:val="en-GB"/>
        </w:rPr>
        <w:t xml:space="preserve"> model and a machine learning model—into a single, interactive application.</w:t>
      </w:r>
      <w:r w:rsidR="00992F50">
        <w:rPr>
          <w:rFonts w:ascii="Times" w:eastAsia="Times" w:hAnsi="Times" w:cs="Times"/>
          <w:lang w:val="en-GB"/>
        </w:rPr>
        <w:t xml:space="preserve"> For this purpose, </w:t>
      </w:r>
      <w:r w:rsidR="00870C2D">
        <w:rPr>
          <w:rFonts w:ascii="Times" w:eastAsia="Times" w:hAnsi="Times" w:cs="Times"/>
          <w:lang w:val="en-GB"/>
        </w:rPr>
        <w:t xml:space="preserve">the following </w:t>
      </w:r>
      <w:r w:rsidR="003E4FD0" w:rsidRPr="00E265E0">
        <w:rPr>
          <w:rFonts w:ascii="Times New Roman" w:eastAsia="Times" w:hAnsi="Times New Roman" w:cs="Times New Roman"/>
          <w:lang w:val="en-GB"/>
        </w:rPr>
        <w:t xml:space="preserve">accessible </w:t>
      </w:r>
      <w:r w:rsidR="00870C2D" w:rsidRPr="00E265E0">
        <w:rPr>
          <w:rFonts w:ascii="Times New Roman" w:eastAsia="Times" w:hAnsi="Times New Roman" w:cs="Times New Roman"/>
          <w:lang w:val="en-GB"/>
        </w:rPr>
        <w:t>databases were used as main source of information:</w:t>
      </w:r>
    </w:p>
    <w:p w14:paraId="462EEF4C" w14:textId="01E66FD1" w:rsidR="00E265E0" w:rsidRPr="002E3E72" w:rsidRDefault="00E265E0" w:rsidP="002B3ACB">
      <w:pPr>
        <w:pStyle w:val="ListParagraph"/>
        <w:numPr>
          <w:ilvl w:val="0"/>
          <w:numId w:val="5"/>
        </w:numPr>
        <w:spacing w:line="360" w:lineRule="auto"/>
        <w:ind w:hanging="153"/>
        <w:jc w:val="both"/>
        <w:rPr>
          <w:rFonts w:ascii="Times New Roman" w:hAnsi="Times New Roman" w:cs="Times New Roman"/>
          <w:sz w:val="22"/>
          <w:szCs w:val="22"/>
          <w:lang w:val="en-US"/>
        </w:rPr>
      </w:pPr>
      <w:r w:rsidRPr="002E3E72">
        <w:rPr>
          <w:rFonts w:ascii="Times New Roman" w:hAnsi="Times New Roman" w:cs="Times New Roman"/>
          <w:sz w:val="22"/>
          <w:szCs w:val="22"/>
          <w:lang w:val="en-US"/>
        </w:rPr>
        <w:t xml:space="preserve">Government of Canada. (2023, November 8). </w:t>
      </w:r>
      <w:r w:rsidRPr="002E3E72">
        <w:rPr>
          <w:rFonts w:ascii="Times New Roman" w:hAnsi="Times New Roman" w:cs="Times New Roman"/>
          <w:i/>
          <w:iCs/>
          <w:sz w:val="22"/>
          <w:szCs w:val="22"/>
          <w:lang w:val="en-US"/>
        </w:rPr>
        <w:t>Age (in single years), average age and median age and gender: Canada, provinces and territories, divisions of recensus and census subdivisions</w:t>
      </w:r>
      <w:r w:rsidRPr="002E3E72">
        <w:rPr>
          <w:rFonts w:ascii="Times New Roman" w:hAnsi="Times New Roman" w:cs="Times New Roman"/>
          <w:sz w:val="22"/>
          <w:szCs w:val="22"/>
          <w:lang w:val="en-US"/>
        </w:rPr>
        <w:t xml:space="preserve"> [Data set]. Open Government Portal. </w:t>
      </w:r>
      <w:hyperlink r:id="rId9" w:tgtFrame="_blank" w:tooltip="https://open.canada.ca/data/dataset/6acff169-8026-47ef-abec-3ec34e0b02fa" w:history="1">
        <w:r w:rsidRPr="002E3E72">
          <w:rPr>
            <w:rStyle w:val="Hyperlink"/>
            <w:rFonts w:ascii="Times New Roman" w:hAnsi="Times New Roman" w:cs="Times New Roman"/>
            <w:sz w:val="22"/>
            <w:szCs w:val="22"/>
            <w:lang w:val="en-US"/>
          </w:rPr>
          <w:t>https://open.canada.ca/data/dataset/6acff169-8026-47ef-abec-3ec34e0b02fa</w:t>
        </w:r>
      </w:hyperlink>
      <w:r w:rsidRPr="002E3E72">
        <w:rPr>
          <w:rFonts w:ascii="Times New Roman" w:hAnsi="Times New Roman" w:cs="Times New Roman"/>
          <w:sz w:val="22"/>
          <w:szCs w:val="22"/>
          <w:lang w:val="en-US"/>
        </w:rPr>
        <w:t xml:space="preserve"> (</w:t>
      </w:r>
      <w:hyperlink r:id="rId10" w:tgtFrame="_blank" w:tooltip="https://ouvert.canada.ca/data/dataset/6acff169-8026-47ef-abec-3ec34e0b02fa?utm_source=chatgpt.com" w:history="1">
        <w:r w:rsidRPr="002E3E72">
          <w:rPr>
            <w:rStyle w:val="Hyperlink"/>
            <w:rFonts w:ascii="Times New Roman" w:hAnsi="Times New Roman" w:cs="Times New Roman"/>
            <w:sz w:val="22"/>
            <w:szCs w:val="22"/>
            <w:lang w:val="en-US"/>
          </w:rPr>
          <w:t>Open Government Canada</w:t>
        </w:r>
      </w:hyperlink>
      <w:r w:rsidRPr="002E3E72">
        <w:rPr>
          <w:rFonts w:ascii="Times New Roman" w:hAnsi="Times New Roman" w:cs="Times New Roman"/>
          <w:sz w:val="22"/>
          <w:szCs w:val="22"/>
          <w:lang w:val="en-US"/>
        </w:rPr>
        <w:t>)</w:t>
      </w:r>
    </w:p>
    <w:p w14:paraId="119F2222" w14:textId="005C6358" w:rsidR="00E265E0" w:rsidRPr="00E265E0" w:rsidRDefault="00E265E0" w:rsidP="002B3ACB">
      <w:pPr>
        <w:pStyle w:val="ListParagraph"/>
        <w:numPr>
          <w:ilvl w:val="0"/>
          <w:numId w:val="5"/>
        </w:numPr>
        <w:spacing w:line="360" w:lineRule="auto"/>
        <w:ind w:hanging="153"/>
        <w:jc w:val="both"/>
        <w:rPr>
          <w:rFonts w:ascii="Times New Roman" w:hAnsi="Times New Roman" w:cs="Times New Roman"/>
          <w:sz w:val="22"/>
          <w:szCs w:val="22"/>
        </w:rPr>
      </w:pPr>
      <w:r w:rsidRPr="002E3E72">
        <w:rPr>
          <w:rFonts w:ascii="Times New Roman" w:hAnsi="Times New Roman" w:cs="Times New Roman"/>
          <w:sz w:val="22"/>
          <w:szCs w:val="22"/>
          <w:lang w:val="en-US"/>
        </w:rPr>
        <w:t xml:space="preserve">Government of Canada. (2025, May 29). </w:t>
      </w:r>
      <w:r w:rsidRPr="002E3E72">
        <w:rPr>
          <w:rFonts w:ascii="Times New Roman" w:hAnsi="Times New Roman" w:cs="Times New Roman"/>
          <w:i/>
          <w:iCs/>
          <w:sz w:val="22"/>
          <w:szCs w:val="22"/>
          <w:lang w:val="en-US"/>
        </w:rPr>
        <w:t>Canada Vigilance Adverse Reaction Online Database – Data structure</w:t>
      </w:r>
      <w:r w:rsidRPr="002E3E72">
        <w:rPr>
          <w:rFonts w:ascii="Times New Roman" w:hAnsi="Times New Roman" w:cs="Times New Roman"/>
          <w:sz w:val="22"/>
          <w:szCs w:val="22"/>
          <w:lang w:val="en-US"/>
        </w:rPr>
        <w:t xml:space="preserve">. Health Canada. </w:t>
      </w:r>
      <w:hyperlink r:id="rId11" w:tgtFrame="_blank" w:tooltip="https://www.canada.ca/en/health-canada/services/drugs-health-products/medeffect-canada/adverse-reaction-database/canada-vigilance-adverse-reaction-online-database-data-structures.html" w:history="1">
        <w:r w:rsidRPr="002E3E72">
          <w:rPr>
            <w:rStyle w:val="Hyperlink"/>
            <w:rFonts w:ascii="Times New Roman" w:hAnsi="Times New Roman" w:cs="Times New Roman"/>
            <w:sz w:val="22"/>
            <w:szCs w:val="22"/>
            <w:lang w:val="en-US"/>
          </w:rPr>
          <w:t>https://www.canada.ca/en/health-canada/services/drugs-health-products/medeffect-canada/adverse-reac…</w:t>
        </w:r>
      </w:hyperlink>
      <w:r w:rsidRPr="002E3E72">
        <w:rPr>
          <w:rFonts w:ascii="Times New Roman" w:hAnsi="Times New Roman" w:cs="Times New Roman"/>
          <w:sz w:val="22"/>
          <w:szCs w:val="22"/>
          <w:lang w:val="en-US"/>
        </w:rPr>
        <w:t xml:space="preserve"> </w:t>
      </w:r>
      <w:r w:rsidRPr="00E265E0">
        <w:rPr>
          <w:rFonts w:ascii="Times New Roman" w:hAnsi="Times New Roman" w:cs="Times New Roman"/>
          <w:sz w:val="22"/>
          <w:szCs w:val="22"/>
        </w:rPr>
        <w:t>(</w:t>
      </w:r>
      <w:proofErr w:type="spellStart"/>
      <w:r>
        <w:fldChar w:fldCharType="begin"/>
      </w:r>
      <w:r>
        <w:instrText>HYPERLINK "https://www.canada.ca/en/health-canada/services/drugs-health-products/medeffect-canada/adverse-reaction-database/canada-vigilance-adverse-reaction-online-database-data-structures.html?utm_source=chatgpt.com" \o "https://www.canada.ca/en/health-canada/services/drugs-health-products/medeffect-canada/adverse-reaction-database/canada-vigilance-adverse-reaction-online-database-data-structures.html?utm_source=chatgpt.com" \t "_blank"</w:instrText>
      </w:r>
      <w:r>
        <w:fldChar w:fldCharType="separate"/>
      </w:r>
      <w:r w:rsidRPr="00E265E0">
        <w:rPr>
          <w:rStyle w:val="Hyperlink"/>
          <w:rFonts w:ascii="Times New Roman" w:hAnsi="Times New Roman" w:cs="Times New Roman"/>
          <w:sz w:val="22"/>
          <w:szCs w:val="22"/>
        </w:rPr>
        <w:t>Canada</w:t>
      </w:r>
      <w:proofErr w:type="spellEnd"/>
      <w:r>
        <w:fldChar w:fldCharType="end"/>
      </w:r>
      <w:r w:rsidRPr="00E265E0">
        <w:rPr>
          <w:rFonts w:ascii="Times New Roman" w:hAnsi="Times New Roman" w:cs="Times New Roman"/>
          <w:sz w:val="22"/>
          <w:szCs w:val="22"/>
        </w:rPr>
        <w:t>)</w:t>
      </w:r>
    </w:p>
    <w:p w14:paraId="20ED3EEE" w14:textId="7918B15A" w:rsidR="00E265E0" w:rsidRPr="00E265E0" w:rsidRDefault="00E265E0" w:rsidP="002B3ACB">
      <w:pPr>
        <w:pStyle w:val="ListParagraph"/>
        <w:numPr>
          <w:ilvl w:val="0"/>
          <w:numId w:val="5"/>
        </w:numPr>
        <w:spacing w:line="360" w:lineRule="auto"/>
        <w:ind w:hanging="153"/>
        <w:jc w:val="both"/>
        <w:rPr>
          <w:rFonts w:ascii="Times New Roman" w:hAnsi="Times New Roman" w:cs="Times New Roman"/>
          <w:sz w:val="22"/>
          <w:szCs w:val="22"/>
        </w:rPr>
      </w:pPr>
      <w:r w:rsidRPr="002E3E72">
        <w:rPr>
          <w:rFonts w:ascii="Times New Roman" w:hAnsi="Times New Roman" w:cs="Times New Roman"/>
          <w:sz w:val="22"/>
          <w:szCs w:val="22"/>
          <w:lang w:val="en-US"/>
        </w:rPr>
        <w:t xml:space="preserve">Government of Canada. (2023). </w:t>
      </w:r>
      <w:r w:rsidRPr="002E3E72">
        <w:rPr>
          <w:rFonts w:ascii="Times New Roman" w:hAnsi="Times New Roman" w:cs="Times New Roman"/>
          <w:i/>
          <w:iCs/>
          <w:sz w:val="22"/>
          <w:szCs w:val="22"/>
          <w:lang w:val="en-US"/>
        </w:rPr>
        <w:t>Age (in years), average age and median age and gender: Canada, provinces and territories, divisions of recensus and census subdivisions</w:t>
      </w:r>
      <w:r w:rsidRPr="002E3E72">
        <w:rPr>
          <w:rFonts w:ascii="Times New Roman" w:hAnsi="Times New Roman" w:cs="Times New Roman"/>
          <w:sz w:val="22"/>
          <w:szCs w:val="22"/>
          <w:lang w:val="en-US"/>
        </w:rPr>
        <w:t xml:space="preserve"> [Data set]. </w:t>
      </w:r>
      <w:r w:rsidRPr="00E265E0">
        <w:rPr>
          <w:rFonts w:ascii="Times New Roman" w:hAnsi="Times New Roman" w:cs="Times New Roman"/>
          <w:sz w:val="22"/>
          <w:szCs w:val="22"/>
        </w:rPr>
        <w:t xml:space="preserve">Publications G C. </w:t>
      </w:r>
      <w:hyperlink r:id="rId12" w:tgtFrame="_blank" w:tooltip="https://publications.gc.ca/collections/collection_2024/statcan/91-215-x2023002-eng.pdf" w:history="1">
        <w:r w:rsidRPr="00E265E0">
          <w:rPr>
            <w:rStyle w:val="Hyperlink"/>
            <w:rFonts w:ascii="Times New Roman" w:hAnsi="Times New Roman" w:cs="Times New Roman"/>
            <w:sz w:val="22"/>
            <w:szCs w:val="22"/>
          </w:rPr>
          <w:t>https://publications.gc.ca/collections/collection_2024/statcan/91-215-x2023002-eng.pdf</w:t>
        </w:r>
      </w:hyperlink>
    </w:p>
    <w:p w14:paraId="4893FC5D" w14:textId="3D9D0CE1" w:rsidR="00E265E0" w:rsidRPr="00E265E0" w:rsidRDefault="00E265E0" w:rsidP="002B3ACB">
      <w:pPr>
        <w:pStyle w:val="ListParagraph"/>
        <w:numPr>
          <w:ilvl w:val="0"/>
          <w:numId w:val="5"/>
        </w:numPr>
        <w:spacing w:line="360" w:lineRule="auto"/>
        <w:ind w:hanging="153"/>
        <w:jc w:val="both"/>
        <w:rPr>
          <w:rFonts w:ascii="Times New Roman" w:hAnsi="Times New Roman" w:cs="Times New Roman"/>
          <w:sz w:val="22"/>
          <w:szCs w:val="22"/>
        </w:rPr>
      </w:pPr>
      <w:r w:rsidRPr="002E3E72">
        <w:rPr>
          <w:rFonts w:ascii="Times New Roman" w:hAnsi="Times New Roman" w:cs="Times New Roman"/>
          <w:sz w:val="22"/>
          <w:szCs w:val="22"/>
          <w:lang w:val="en-US"/>
        </w:rPr>
        <w:t>Government of Canada. (n.</w:t>
      </w:r>
      <w:r w:rsidR="00207E70" w:rsidRPr="002E3E72">
        <w:rPr>
          <w:rFonts w:ascii="Times New Roman" w:hAnsi="Times New Roman" w:cs="Times New Roman"/>
          <w:sz w:val="22"/>
          <w:szCs w:val="22"/>
          <w:lang w:val="en-US"/>
        </w:rPr>
        <w:t>a</w:t>
      </w:r>
      <w:r w:rsidRPr="002E3E72">
        <w:rPr>
          <w:rFonts w:ascii="Times New Roman" w:hAnsi="Times New Roman" w:cs="Times New Roman"/>
          <w:sz w:val="22"/>
          <w:szCs w:val="22"/>
          <w:lang w:val="en-US"/>
        </w:rPr>
        <w:t xml:space="preserve">.). </w:t>
      </w:r>
      <w:r w:rsidRPr="002E3E72">
        <w:rPr>
          <w:rFonts w:ascii="Times New Roman" w:hAnsi="Times New Roman" w:cs="Times New Roman"/>
          <w:i/>
          <w:iCs/>
          <w:sz w:val="22"/>
          <w:szCs w:val="22"/>
          <w:lang w:val="en-US"/>
        </w:rPr>
        <w:t>Archive — Age (in years), average age and median age and gender: Canada, provinces and territories, divisions of recensus and census subdivisions</w:t>
      </w:r>
      <w:r w:rsidRPr="002E3E72">
        <w:rPr>
          <w:rFonts w:ascii="Times New Roman" w:hAnsi="Times New Roman" w:cs="Times New Roman"/>
          <w:sz w:val="22"/>
          <w:szCs w:val="22"/>
          <w:lang w:val="en-US"/>
        </w:rPr>
        <w:t xml:space="preserve"> [Archived data set]. </w:t>
      </w:r>
      <w:r>
        <w:fldChar w:fldCharType="begin"/>
      </w:r>
      <w:r w:rsidRPr="002E3E72">
        <w:rPr>
          <w:lang w:val="en-US"/>
        </w:rPr>
        <w:instrText>HYPERLINK "https://publications.gc.ca/site/archivee-archived.html?url=https%3A%2F%2Fpublications.gc.ca%2Fcollections%2Fcollection_2024%2Fstatcan%2F91-215-x2023002-eng.pdf" \o "https://publications.gc.ca/site/archivee-archived.html?url=https%3a%2f%2fpublications.gc.ca%2fcollections%2fcollection_2024%2fstatcan%2f91-215-x2023002-eng.pdf" \t "_blank"</w:instrText>
      </w:r>
      <w:r>
        <w:fldChar w:fldCharType="separate"/>
      </w:r>
      <w:r w:rsidRPr="00E265E0">
        <w:rPr>
          <w:rStyle w:val="Hyperlink"/>
          <w:rFonts w:ascii="Times New Roman" w:hAnsi="Times New Roman" w:cs="Times New Roman"/>
          <w:sz w:val="22"/>
          <w:szCs w:val="22"/>
        </w:rPr>
        <w:t>https://publications.gc.ca/site/archivee-archived.html?url=https%3A%2F%2Fpublications.gc.ca%2Fcolle…</w:t>
      </w:r>
      <w:r>
        <w:fldChar w:fldCharType="end"/>
      </w:r>
      <w:r w:rsidRPr="00E265E0">
        <w:rPr>
          <w:rFonts w:ascii="Times New Roman" w:hAnsi="Times New Roman" w:cs="Times New Roman"/>
          <w:sz w:val="22"/>
          <w:szCs w:val="22"/>
        </w:rPr>
        <w:br/>
        <w:t>(Accessed 2025 Nov 12)</w:t>
      </w:r>
    </w:p>
    <w:p w14:paraId="704555B2" w14:textId="735BE635" w:rsidR="00E265E0" w:rsidRPr="00E265E0" w:rsidRDefault="00E265E0" w:rsidP="002B3ACB">
      <w:pPr>
        <w:pStyle w:val="ListParagraph"/>
        <w:numPr>
          <w:ilvl w:val="0"/>
          <w:numId w:val="5"/>
        </w:numPr>
        <w:spacing w:line="360" w:lineRule="auto"/>
        <w:ind w:hanging="153"/>
        <w:jc w:val="both"/>
        <w:rPr>
          <w:rFonts w:ascii="Times New Roman" w:hAnsi="Times New Roman" w:cs="Times New Roman"/>
          <w:sz w:val="22"/>
          <w:szCs w:val="22"/>
        </w:rPr>
      </w:pPr>
      <w:r w:rsidRPr="002E3E72">
        <w:rPr>
          <w:rFonts w:ascii="Times New Roman" w:hAnsi="Times New Roman" w:cs="Times New Roman"/>
          <w:sz w:val="22"/>
          <w:szCs w:val="22"/>
          <w:lang w:val="en-US"/>
        </w:rPr>
        <w:t xml:space="preserve">Government of Canada. (2020, June 29). </w:t>
      </w:r>
      <w:r w:rsidRPr="002E3E72">
        <w:rPr>
          <w:rFonts w:ascii="Times New Roman" w:hAnsi="Times New Roman" w:cs="Times New Roman"/>
          <w:i/>
          <w:iCs/>
          <w:sz w:val="22"/>
          <w:szCs w:val="22"/>
          <w:lang w:val="en-US"/>
        </w:rPr>
        <w:t>Canadian Antimicrobial Resistance Surveillance System (CARSS) – Update 2020: Report</w:t>
      </w:r>
      <w:r w:rsidRPr="002E3E72">
        <w:rPr>
          <w:rFonts w:ascii="Times New Roman" w:hAnsi="Times New Roman" w:cs="Times New Roman"/>
          <w:sz w:val="22"/>
          <w:szCs w:val="22"/>
          <w:lang w:val="en-US"/>
        </w:rPr>
        <w:t xml:space="preserve">. Public Health Agency of Canada. </w:t>
      </w:r>
      <w:r>
        <w:lastRenderedPageBreak/>
        <w:fldChar w:fldCharType="begin"/>
      </w:r>
      <w:r w:rsidRPr="002E3E72">
        <w:rPr>
          <w:lang w:val="en-US"/>
        </w:rPr>
        <w:instrText>HYPERLINK "https://www.cahss.ca/CAHSS/Assets/Documents/CARSS-2020-Canadian-Antimicrobial-Resistance-Surveillance-System-Report-eng.pdf" \o "https://www.cahss.ca/cahss/assets/documents/carss-2020-canadian-antimicrobial-resistance-surveillance-system-report-eng.pdf" \t "_blank"</w:instrText>
      </w:r>
      <w:r>
        <w:fldChar w:fldCharType="separate"/>
      </w:r>
      <w:r w:rsidRPr="002E3E72">
        <w:rPr>
          <w:rStyle w:val="Hyperlink"/>
          <w:rFonts w:ascii="Times New Roman" w:hAnsi="Times New Roman" w:cs="Times New Roman"/>
          <w:sz w:val="22"/>
          <w:szCs w:val="22"/>
          <w:lang w:val="en-US"/>
        </w:rPr>
        <w:t>https://www.cahss.ca/CAHSS/Assets/Documents/CARSS-2020-Canadian-Antimicrobial-Resistance-Surveillan…</w:t>
      </w:r>
      <w:r>
        <w:fldChar w:fldCharType="end"/>
      </w:r>
      <w:r w:rsidRPr="002E3E72">
        <w:rPr>
          <w:rFonts w:ascii="Times New Roman" w:hAnsi="Times New Roman" w:cs="Times New Roman"/>
          <w:sz w:val="22"/>
          <w:szCs w:val="22"/>
          <w:lang w:val="en-US"/>
        </w:rPr>
        <w:t xml:space="preserve"> </w:t>
      </w:r>
      <w:r w:rsidRPr="00E265E0">
        <w:rPr>
          <w:rFonts w:ascii="Times New Roman" w:hAnsi="Times New Roman" w:cs="Times New Roman"/>
          <w:sz w:val="22"/>
          <w:szCs w:val="22"/>
        </w:rPr>
        <w:t>(</w:t>
      </w:r>
      <w:proofErr w:type="spellStart"/>
      <w:r>
        <w:fldChar w:fldCharType="begin"/>
      </w:r>
      <w:r>
        <w:instrText>HYPERLINK "https://www.canada.ca/en/public-health/services/publications/drugs-health-products/canadian-antimicrobial-resistance-surveillance-system-2020-report.html?utm_source=chatgpt.com" \o "https://www.canada.ca/en/public-health/services/publications/drugs-health-products/canadian-antimicrobial-resistance-surveillance-system-2020-report.html?utm_source=chatgpt.com" \t "_blank"</w:instrText>
      </w:r>
      <w:r>
        <w:fldChar w:fldCharType="separate"/>
      </w:r>
      <w:r w:rsidRPr="00E265E0">
        <w:rPr>
          <w:rStyle w:val="Hyperlink"/>
          <w:rFonts w:ascii="Times New Roman" w:hAnsi="Times New Roman" w:cs="Times New Roman"/>
          <w:sz w:val="22"/>
          <w:szCs w:val="22"/>
        </w:rPr>
        <w:t>Canada</w:t>
      </w:r>
      <w:proofErr w:type="spellEnd"/>
      <w:r>
        <w:fldChar w:fldCharType="end"/>
      </w:r>
      <w:r w:rsidRPr="00E265E0">
        <w:rPr>
          <w:rFonts w:ascii="Times New Roman" w:hAnsi="Times New Roman" w:cs="Times New Roman"/>
          <w:sz w:val="22"/>
          <w:szCs w:val="22"/>
        </w:rPr>
        <w:t>)</w:t>
      </w:r>
    </w:p>
    <w:p w14:paraId="2EF58CAB" w14:textId="279B7BC8" w:rsidR="00E265E0" w:rsidRPr="00E265E0" w:rsidRDefault="00E265E0" w:rsidP="002B3ACB">
      <w:pPr>
        <w:pStyle w:val="ListParagraph"/>
        <w:numPr>
          <w:ilvl w:val="0"/>
          <w:numId w:val="5"/>
        </w:numPr>
        <w:spacing w:line="360" w:lineRule="auto"/>
        <w:ind w:hanging="153"/>
        <w:jc w:val="both"/>
        <w:rPr>
          <w:rFonts w:ascii="Times New Roman" w:hAnsi="Times New Roman" w:cs="Times New Roman"/>
          <w:sz w:val="22"/>
          <w:szCs w:val="22"/>
        </w:rPr>
      </w:pPr>
      <w:r w:rsidRPr="002E3E72">
        <w:rPr>
          <w:rFonts w:ascii="Times New Roman" w:hAnsi="Times New Roman" w:cs="Times New Roman"/>
          <w:sz w:val="22"/>
          <w:szCs w:val="22"/>
          <w:lang w:val="en-US"/>
        </w:rPr>
        <w:t xml:space="preserve">Government of Canada. (n.d.). </w:t>
      </w:r>
      <w:r w:rsidRPr="002E3E72">
        <w:rPr>
          <w:rFonts w:ascii="Times New Roman" w:hAnsi="Times New Roman" w:cs="Times New Roman"/>
          <w:i/>
          <w:iCs/>
          <w:sz w:val="22"/>
          <w:szCs w:val="22"/>
          <w:lang w:val="en-US"/>
        </w:rPr>
        <w:t>Canadian Antimicrobial Resistance Surveillance System (CARSS)</w:t>
      </w:r>
      <w:r w:rsidRPr="002E3E72">
        <w:rPr>
          <w:rFonts w:ascii="Times New Roman" w:hAnsi="Times New Roman" w:cs="Times New Roman"/>
          <w:sz w:val="22"/>
          <w:szCs w:val="22"/>
          <w:lang w:val="en-US"/>
        </w:rPr>
        <w:t xml:space="preserve"> [Web page]. </w:t>
      </w:r>
      <w:r>
        <w:fldChar w:fldCharType="begin"/>
      </w:r>
      <w:r w:rsidRPr="002E3E72">
        <w:rPr>
          <w:lang w:val="en-US"/>
        </w:rPr>
        <w:instrText>HYPERLINK "https://health-infobase.canada.ca/carss/" \o "https://health-infobase.canada.ca/carss/" \t "_blank"</w:instrText>
      </w:r>
      <w:r>
        <w:fldChar w:fldCharType="separate"/>
      </w:r>
      <w:r w:rsidRPr="00E265E0">
        <w:rPr>
          <w:rStyle w:val="Hyperlink"/>
          <w:rFonts w:ascii="Times New Roman" w:hAnsi="Times New Roman" w:cs="Times New Roman"/>
          <w:sz w:val="22"/>
          <w:szCs w:val="22"/>
        </w:rPr>
        <w:t>https://health-infobase.canada.ca/carss/</w:t>
      </w:r>
      <w:r>
        <w:fldChar w:fldCharType="end"/>
      </w:r>
      <w:r w:rsidRPr="00E265E0">
        <w:rPr>
          <w:rFonts w:ascii="Times New Roman" w:hAnsi="Times New Roman" w:cs="Times New Roman"/>
          <w:sz w:val="22"/>
          <w:szCs w:val="22"/>
        </w:rPr>
        <w:br/>
        <w:t>(Accessed 2025 Nov 12)</w:t>
      </w:r>
    </w:p>
    <w:p w14:paraId="1D225178" w14:textId="12E86CF8" w:rsidR="00E265E0" w:rsidRPr="002E3E72" w:rsidRDefault="00E265E0" w:rsidP="002B3ACB">
      <w:pPr>
        <w:pStyle w:val="ListParagraph"/>
        <w:numPr>
          <w:ilvl w:val="0"/>
          <w:numId w:val="5"/>
        </w:numPr>
        <w:spacing w:line="360" w:lineRule="auto"/>
        <w:ind w:hanging="153"/>
        <w:jc w:val="both"/>
        <w:rPr>
          <w:rFonts w:ascii="Times New Roman" w:hAnsi="Times New Roman" w:cs="Times New Roman"/>
          <w:sz w:val="22"/>
          <w:szCs w:val="22"/>
          <w:lang w:val="en-US"/>
        </w:rPr>
      </w:pPr>
      <w:r w:rsidRPr="002E3E72">
        <w:rPr>
          <w:rFonts w:ascii="Times New Roman" w:hAnsi="Times New Roman" w:cs="Times New Roman"/>
          <w:sz w:val="22"/>
          <w:szCs w:val="22"/>
          <w:lang w:val="en-US"/>
        </w:rPr>
        <w:t xml:space="preserve">Government of Canada. (2011). </w:t>
      </w:r>
      <w:r w:rsidRPr="002E3E72">
        <w:rPr>
          <w:rFonts w:ascii="Times New Roman" w:hAnsi="Times New Roman" w:cs="Times New Roman"/>
          <w:i/>
          <w:iCs/>
          <w:sz w:val="22"/>
          <w:szCs w:val="22"/>
          <w:lang w:val="en-US"/>
        </w:rPr>
        <w:t>Canadian Integrated Program for Antimicrobial Resistance Surveillance (CIPARS) Human Antimicrobial Use Short Report, 2000–2009</w:t>
      </w:r>
      <w:r w:rsidRPr="002E3E72">
        <w:rPr>
          <w:rFonts w:ascii="Times New Roman" w:hAnsi="Times New Roman" w:cs="Times New Roman"/>
          <w:sz w:val="22"/>
          <w:szCs w:val="22"/>
          <w:lang w:val="en-US"/>
        </w:rPr>
        <w:t xml:space="preserve">. Public Health Agency of Canada. </w:t>
      </w:r>
      <w:r>
        <w:fldChar w:fldCharType="begin"/>
      </w:r>
      <w:r w:rsidRPr="002E3E72">
        <w:rPr>
          <w:lang w:val="en-US"/>
        </w:rPr>
        <w:instrText>HYPERLINK "https://www.phac-aspc.gc.ca/cipars-picra/2009/pdf/2009pr-eng.pdf" \o "https://www.phac-aspc.gc.ca/cipars-picra/2009/pdf/2009pr-eng.pdf" \t "_blank"</w:instrText>
      </w:r>
      <w:r>
        <w:fldChar w:fldCharType="separate"/>
      </w:r>
      <w:r w:rsidRPr="002E3E72">
        <w:rPr>
          <w:rStyle w:val="Hyperlink"/>
          <w:rFonts w:ascii="Times New Roman" w:hAnsi="Times New Roman" w:cs="Times New Roman"/>
          <w:sz w:val="22"/>
          <w:szCs w:val="22"/>
          <w:lang w:val="en-US"/>
        </w:rPr>
        <w:t>https://www.phac-aspc.gc.ca/cipars-picra/2009/pdf/2009pr-eng.pdf</w:t>
      </w:r>
      <w:r>
        <w:fldChar w:fldCharType="end"/>
      </w:r>
      <w:r w:rsidRPr="002E3E72">
        <w:rPr>
          <w:rFonts w:ascii="Times New Roman" w:hAnsi="Times New Roman" w:cs="Times New Roman"/>
          <w:sz w:val="22"/>
          <w:szCs w:val="22"/>
          <w:lang w:val="en-US"/>
        </w:rPr>
        <w:t xml:space="preserve"> (</w:t>
      </w:r>
      <w:proofErr w:type="spellStart"/>
      <w:r>
        <w:fldChar w:fldCharType="begin"/>
      </w:r>
      <w:proofErr w:type="spellEnd"/>
      <w:r w:rsidRPr="002E3E72">
        <w:rPr>
          <w:lang w:val="en-US"/>
        </w:rPr>
        <w:instrText>HYPERLINK "https://www.phac-aspc.gc.ca/cipars-picra/2009/pdf/2009pr-eng.pdf?utm_source=chatgpt.com" \o "https://www.phac-aspc.gc.ca/cipars-picra/2009/pdf/2009pr-eng.pdf?utm_source=chatgpt.com" \t "_blank"</w:instrText>
      </w:r>
      <w:proofErr w:type="spellStart"/>
      <w:r>
        <w:fldChar w:fldCharType="separate"/>
      </w:r>
      <w:proofErr w:type="spellEnd"/>
      <w:r w:rsidRPr="002E3E72">
        <w:rPr>
          <w:rStyle w:val="Hyperlink"/>
          <w:rFonts w:ascii="Times New Roman" w:hAnsi="Times New Roman" w:cs="Times New Roman"/>
          <w:sz w:val="22"/>
          <w:szCs w:val="22"/>
          <w:lang w:val="en-US"/>
        </w:rPr>
        <w:t>Public Health Agency of Canada</w:t>
      </w:r>
      <w:r>
        <w:fldChar w:fldCharType="end"/>
      </w:r>
      <w:r w:rsidRPr="002E3E72">
        <w:rPr>
          <w:rFonts w:ascii="Times New Roman" w:hAnsi="Times New Roman" w:cs="Times New Roman"/>
          <w:sz w:val="22"/>
          <w:szCs w:val="22"/>
          <w:lang w:val="en-US"/>
        </w:rPr>
        <w:t>)</w:t>
      </w:r>
    </w:p>
    <w:p w14:paraId="4892EF69" w14:textId="77777777" w:rsidR="00870C2D" w:rsidRPr="002E3E72" w:rsidRDefault="00870C2D" w:rsidP="005D19D2">
      <w:pPr>
        <w:pStyle w:val="ListParagraph"/>
        <w:spacing w:line="360" w:lineRule="auto"/>
        <w:jc w:val="both"/>
        <w:rPr>
          <w:lang w:val="en-US"/>
        </w:rPr>
      </w:pPr>
    </w:p>
    <w:p w14:paraId="5B85AD6A" w14:textId="5E1B485C" w:rsidR="00195655" w:rsidRDefault="1496CA62" w:rsidP="002B3ACB">
      <w:pPr>
        <w:spacing w:line="360" w:lineRule="auto"/>
        <w:ind w:firstLine="567"/>
        <w:jc w:val="both"/>
        <w:rPr>
          <w:rFonts w:ascii="Times" w:eastAsia="Times" w:hAnsi="Times" w:cs="Times"/>
          <w:lang w:val="en-GB"/>
        </w:rPr>
      </w:pPr>
      <w:r w:rsidRPr="00787C29">
        <w:rPr>
          <w:rFonts w:ascii="Times" w:eastAsia="Times" w:hAnsi="Times" w:cs="Times"/>
          <w:lang w:val="en-GB"/>
        </w:rPr>
        <w:t xml:space="preserve">Based on the </w:t>
      </w:r>
      <w:r w:rsidR="00DC57C4">
        <w:rPr>
          <w:rFonts w:ascii="Times" w:eastAsia="Times" w:hAnsi="Times" w:cs="Times"/>
          <w:lang w:val="en-GB"/>
        </w:rPr>
        <w:t>analysis of these databases</w:t>
      </w:r>
      <w:r w:rsidRPr="00787C29">
        <w:rPr>
          <w:rFonts w:ascii="Times" w:eastAsia="Times" w:hAnsi="Times" w:cs="Times"/>
          <w:lang w:val="en-GB"/>
        </w:rPr>
        <w:t xml:space="preserve">, the development stack leverages Python for its core logic, utilizing robust data manipulation libraries such as Polars and Pandas for efficient data preprocessing, cleaning, and feature engineering, including the imputation of missing values as seen in the </w:t>
      </w:r>
      <w:r w:rsidRPr="00787C29">
        <w:rPr>
          <w:rFonts w:ascii="Consolas" w:eastAsia="Consolas" w:hAnsi="Consolas" w:cs="Consolas"/>
          <w:sz w:val="22"/>
          <w:szCs w:val="22"/>
          <w:lang w:val="en-GB"/>
        </w:rPr>
        <w:t xml:space="preserve">03_02 Una Mejor </w:t>
      </w:r>
      <w:proofErr w:type="spellStart"/>
      <w:r w:rsidRPr="00787C29">
        <w:rPr>
          <w:rFonts w:ascii="Consolas" w:eastAsia="Consolas" w:hAnsi="Consolas" w:cs="Consolas"/>
          <w:sz w:val="22"/>
          <w:szCs w:val="22"/>
          <w:lang w:val="en-GB"/>
        </w:rPr>
        <w:t>Imputacion.ipynb</w:t>
      </w:r>
      <w:proofErr w:type="spellEnd"/>
      <w:r w:rsidRPr="00787C29">
        <w:rPr>
          <w:rFonts w:ascii="Times" w:eastAsia="Times" w:hAnsi="Times" w:cs="Times"/>
          <w:sz w:val="22"/>
          <w:szCs w:val="22"/>
          <w:lang w:val="en-GB"/>
        </w:rPr>
        <w:t xml:space="preserve"> </w:t>
      </w:r>
      <w:r w:rsidRPr="00787C29">
        <w:rPr>
          <w:rFonts w:ascii="Times" w:eastAsia="Times" w:hAnsi="Times" w:cs="Times"/>
          <w:lang w:val="en-GB"/>
        </w:rPr>
        <w:t>notebook.</w:t>
      </w:r>
      <w:r w:rsidR="0057683C">
        <w:t xml:space="preserve"> </w:t>
      </w:r>
      <w:r w:rsidRPr="00787C29">
        <w:rPr>
          <w:rFonts w:ascii="Times" w:eastAsia="Times" w:hAnsi="Times" w:cs="Times"/>
          <w:lang w:val="en-GB"/>
        </w:rPr>
        <w:t>The dual-approach methodology consists of:</w:t>
      </w:r>
    </w:p>
    <w:p w14:paraId="5B392DA7" w14:textId="77777777" w:rsidR="0098401B" w:rsidRPr="00787C29" w:rsidRDefault="0098401B" w:rsidP="002B3ACB">
      <w:pPr>
        <w:spacing w:line="360" w:lineRule="auto"/>
        <w:ind w:firstLine="567"/>
        <w:jc w:val="both"/>
      </w:pPr>
    </w:p>
    <w:p w14:paraId="6C799D21" w14:textId="5090D779" w:rsidR="00195655" w:rsidRDefault="1496CA62" w:rsidP="005D19D2">
      <w:pPr>
        <w:pStyle w:val="ListParagraph"/>
        <w:numPr>
          <w:ilvl w:val="0"/>
          <w:numId w:val="2"/>
        </w:numPr>
        <w:spacing w:line="360" w:lineRule="auto"/>
        <w:ind w:firstLine="0"/>
        <w:jc w:val="both"/>
        <w:rPr>
          <w:rFonts w:ascii="Times" w:eastAsia="Times" w:hAnsi="Times" w:cs="Times"/>
          <w:lang w:val="en-GB"/>
        </w:rPr>
      </w:pPr>
      <w:proofErr w:type="spellStart"/>
      <w:r w:rsidRPr="156D4083">
        <w:rPr>
          <w:rFonts w:ascii="Times" w:eastAsia="Times" w:hAnsi="Times" w:cs="Times"/>
          <w:b/>
          <w:bCs/>
          <w:lang w:val="en-GB"/>
        </w:rPr>
        <w:t>Pharmacoepidemiological</w:t>
      </w:r>
      <w:proofErr w:type="spellEnd"/>
      <w:r w:rsidRPr="156D4083">
        <w:rPr>
          <w:rFonts w:ascii="Times" w:eastAsia="Times" w:hAnsi="Times" w:cs="Times"/>
          <w:b/>
          <w:bCs/>
          <w:lang w:val="en-GB"/>
        </w:rPr>
        <w:t xml:space="preserve"> (PE) Hybrid Model:</w:t>
      </w:r>
      <w:r w:rsidRPr="156D4083">
        <w:rPr>
          <w:rFonts w:ascii="Times" w:eastAsia="Times" w:hAnsi="Times" w:cs="Times"/>
          <w:lang w:val="en-GB"/>
        </w:rPr>
        <w:t xml:space="preserve"> As outlined in the </w:t>
      </w:r>
      <w:r w:rsidRPr="00787C29">
        <w:rPr>
          <w:rFonts w:ascii="Consolas" w:eastAsia="Consolas" w:hAnsi="Consolas" w:cs="Consolas"/>
          <w:sz w:val="22"/>
          <w:szCs w:val="22"/>
          <w:lang w:val="en-GB"/>
        </w:rPr>
        <w:t xml:space="preserve">03 </w:t>
      </w:r>
      <w:proofErr w:type="spellStart"/>
      <w:r w:rsidRPr="00787C29">
        <w:rPr>
          <w:rFonts w:ascii="Consolas" w:eastAsia="Consolas" w:hAnsi="Consolas" w:cs="Consolas"/>
          <w:sz w:val="22"/>
          <w:szCs w:val="22"/>
          <w:lang w:val="en-GB"/>
        </w:rPr>
        <w:t>vean</w:t>
      </w:r>
      <w:proofErr w:type="spellEnd"/>
      <w:r w:rsidRPr="00787C29">
        <w:rPr>
          <w:rFonts w:ascii="Consolas" w:eastAsia="Consolas" w:hAnsi="Consolas" w:cs="Consolas"/>
          <w:sz w:val="22"/>
          <w:szCs w:val="22"/>
          <w:lang w:val="en-GB"/>
        </w:rPr>
        <w:t xml:space="preserve"> </w:t>
      </w:r>
      <w:proofErr w:type="spellStart"/>
      <w:r w:rsidRPr="00787C29">
        <w:rPr>
          <w:rFonts w:ascii="Consolas" w:eastAsia="Consolas" w:hAnsi="Consolas" w:cs="Consolas"/>
          <w:sz w:val="22"/>
          <w:szCs w:val="22"/>
          <w:lang w:val="en-GB"/>
        </w:rPr>
        <w:t>este.ipynb</w:t>
      </w:r>
      <w:proofErr w:type="spellEnd"/>
      <w:r w:rsidRPr="156D4083">
        <w:rPr>
          <w:rFonts w:ascii="Times" w:eastAsia="Times" w:hAnsi="Times" w:cs="Times"/>
          <w:lang w:val="en-GB"/>
        </w:rPr>
        <w:t xml:space="preserve"> analysis, this model calculates a smoothed, age-adjusted probability of an adverse event (AE) occurring </w:t>
      </w:r>
      <w:r w:rsidRPr="00787C29">
        <w:rPr>
          <w:rFonts w:ascii="Times" w:eastAsia="Times" w:hAnsi="Times" w:cs="Times"/>
          <w:sz w:val="22"/>
          <w:szCs w:val="22"/>
          <w:lang w:val="en-GB"/>
        </w:rPr>
        <w:t>(</w:t>
      </w:r>
      <w:proofErr w:type="spellStart"/>
      <w:r w:rsidRPr="00787C29">
        <w:rPr>
          <w:rFonts w:ascii="Consolas" w:eastAsia="Consolas" w:hAnsi="Consolas" w:cs="Consolas"/>
          <w:sz w:val="22"/>
          <w:szCs w:val="22"/>
          <w:lang w:val="en-GB"/>
        </w:rPr>
        <w:t>prob_ea</w:t>
      </w:r>
      <w:proofErr w:type="spellEnd"/>
      <w:r w:rsidRPr="156D4083">
        <w:rPr>
          <w:rFonts w:ascii="Times" w:eastAsia="Times" w:hAnsi="Times" w:cs="Times"/>
          <w:lang w:val="en-GB"/>
        </w:rPr>
        <w:t xml:space="preserve">). This hybrid approach provides an interpretable, </w:t>
      </w:r>
      <w:r w:rsidR="00787C29" w:rsidRPr="156D4083">
        <w:rPr>
          <w:rFonts w:ascii="Times" w:eastAsia="Times" w:hAnsi="Times" w:cs="Times"/>
          <w:lang w:val="en-GB"/>
        </w:rPr>
        <w:t>statistically grounded</w:t>
      </w:r>
      <w:r w:rsidRPr="156D4083">
        <w:rPr>
          <w:rFonts w:ascii="Times" w:eastAsia="Times" w:hAnsi="Times" w:cs="Times"/>
          <w:lang w:val="en-GB"/>
        </w:rPr>
        <w:t xml:space="preserve"> metric that clinicians can use to understand baseline risk.</w:t>
      </w:r>
    </w:p>
    <w:p w14:paraId="72A23752" w14:textId="75BEE642" w:rsidR="00195655" w:rsidRDefault="1496CA62" w:rsidP="005D19D2">
      <w:pPr>
        <w:pStyle w:val="ListParagraph"/>
        <w:numPr>
          <w:ilvl w:val="0"/>
          <w:numId w:val="2"/>
        </w:numPr>
        <w:spacing w:line="360" w:lineRule="auto"/>
        <w:ind w:firstLine="0"/>
        <w:jc w:val="both"/>
        <w:rPr>
          <w:rFonts w:ascii="Times" w:eastAsia="Times" w:hAnsi="Times" w:cs="Times"/>
          <w:lang w:val="en-GB"/>
        </w:rPr>
      </w:pPr>
      <w:r w:rsidRPr="156D4083">
        <w:rPr>
          <w:rFonts w:ascii="Times" w:eastAsia="Times" w:hAnsi="Times" w:cs="Times"/>
          <w:b/>
          <w:bCs/>
          <w:lang w:val="en-GB"/>
        </w:rPr>
        <w:t>Machine Learning (ML) Predictive Model:</w:t>
      </w:r>
      <w:r w:rsidRPr="156D4083">
        <w:rPr>
          <w:rFonts w:ascii="Times" w:eastAsia="Times" w:hAnsi="Times" w:cs="Times"/>
          <w:lang w:val="en-GB"/>
        </w:rPr>
        <w:t xml:space="preserve"> Leveraging the </w:t>
      </w:r>
      <w:proofErr w:type="spellStart"/>
      <w:r w:rsidRPr="0057683C">
        <w:rPr>
          <w:rFonts w:ascii="Consolas" w:eastAsia="Consolas" w:hAnsi="Consolas" w:cs="Consolas"/>
          <w:sz w:val="22"/>
          <w:szCs w:val="22"/>
          <w:lang w:val="en-GB"/>
        </w:rPr>
        <w:t>CatBoostClassifier</w:t>
      </w:r>
      <w:proofErr w:type="spellEnd"/>
      <w:r w:rsidRPr="0057683C">
        <w:rPr>
          <w:rFonts w:ascii="Times" w:eastAsia="Times" w:hAnsi="Times" w:cs="Times"/>
          <w:sz w:val="22"/>
          <w:szCs w:val="22"/>
          <w:lang w:val="en-GB"/>
        </w:rPr>
        <w:t xml:space="preserve"> </w:t>
      </w:r>
      <w:r w:rsidRPr="156D4083">
        <w:rPr>
          <w:rFonts w:ascii="Times" w:eastAsia="Times" w:hAnsi="Times" w:cs="Times"/>
          <w:lang w:val="en-GB"/>
        </w:rPr>
        <w:t xml:space="preserve">library, as detailed in </w:t>
      </w:r>
      <w:r w:rsidRPr="0057683C">
        <w:rPr>
          <w:rFonts w:ascii="Consolas" w:eastAsia="Consolas" w:hAnsi="Consolas" w:cs="Consolas"/>
          <w:sz w:val="22"/>
          <w:szCs w:val="22"/>
          <w:lang w:val="en-GB"/>
        </w:rPr>
        <w:t xml:space="preserve">03_03 </w:t>
      </w:r>
      <w:proofErr w:type="spellStart"/>
      <w:r w:rsidRPr="0057683C">
        <w:rPr>
          <w:rFonts w:ascii="Consolas" w:eastAsia="Consolas" w:hAnsi="Consolas" w:cs="Consolas"/>
          <w:sz w:val="22"/>
          <w:szCs w:val="22"/>
          <w:lang w:val="en-GB"/>
        </w:rPr>
        <w:t>Catboost.ipynb</w:t>
      </w:r>
      <w:proofErr w:type="spellEnd"/>
      <w:r w:rsidRPr="156D4083">
        <w:rPr>
          <w:rFonts w:ascii="Times" w:eastAsia="Times" w:hAnsi="Times" w:cs="Times"/>
          <w:lang w:val="en-GB"/>
        </w:rPr>
        <w:t>, we have trained a sophisticated gradient-boosting model. This model excels at identifying complex, non-linear relationships and interactions between patient features (e.g.,</w:t>
      </w:r>
      <w:r w:rsidR="00D62A5D">
        <w:rPr>
          <w:rFonts w:ascii="Times" w:eastAsia="Times" w:hAnsi="Times" w:cs="Times"/>
          <w:lang w:val="en-GB"/>
        </w:rPr>
        <w:t xml:space="preserve"> </w:t>
      </w:r>
      <w:r w:rsidRPr="156D4083">
        <w:rPr>
          <w:rFonts w:ascii="Times" w:eastAsia="Times" w:hAnsi="Times" w:cs="Times"/>
          <w:lang w:val="en-GB"/>
        </w:rPr>
        <w:t xml:space="preserve">concomitant medications) that simpler models might miss. Its performance is rigorously evaluated using metrics </w:t>
      </w:r>
      <w:r w:rsidRPr="00D62A5D">
        <w:rPr>
          <w:rFonts w:ascii="Times" w:eastAsia="Times" w:hAnsi="Times" w:cs="Times"/>
          <w:lang w:val="en-GB"/>
        </w:rPr>
        <w:t>like ROC-AUC and average precision score, and its "Feature Importance" analysis helps identify key risk drivers.</w:t>
      </w:r>
    </w:p>
    <w:p w14:paraId="5E8F2AC8" w14:textId="77777777" w:rsidR="0098401B" w:rsidRDefault="0098401B" w:rsidP="0098401B">
      <w:pPr>
        <w:pStyle w:val="ListParagraph"/>
        <w:spacing w:line="360" w:lineRule="auto"/>
        <w:jc w:val="both"/>
        <w:rPr>
          <w:rFonts w:ascii="Times" w:eastAsia="Times" w:hAnsi="Times" w:cs="Times"/>
          <w:lang w:val="en-GB"/>
        </w:rPr>
      </w:pPr>
    </w:p>
    <w:p w14:paraId="35F860D7" w14:textId="37E5CB89" w:rsidR="002A6FE8" w:rsidRPr="003145CD" w:rsidRDefault="009C1556" w:rsidP="002A6FE8">
      <w:pPr>
        <w:spacing w:line="360" w:lineRule="auto"/>
        <w:ind w:firstLine="709"/>
        <w:jc w:val="both"/>
        <w:rPr>
          <w:rFonts w:ascii="Times New Roman" w:hAnsi="Times New Roman" w:cs="Times New Roman"/>
          <w:lang w:val="en-GB"/>
        </w:rPr>
      </w:pPr>
      <w:r>
        <w:rPr>
          <w:rFonts w:ascii="Times New Roman" w:hAnsi="Times New Roman" w:cs="Times New Roman"/>
          <w:lang w:val="en-GB"/>
        </w:rPr>
        <w:t>Additionally</w:t>
      </w:r>
      <w:r w:rsidR="003145CD">
        <w:rPr>
          <w:rFonts w:ascii="Times New Roman" w:hAnsi="Times New Roman" w:cs="Times New Roman"/>
          <w:lang w:val="en-GB"/>
        </w:rPr>
        <w:t>, t</w:t>
      </w:r>
      <w:r w:rsidR="003145CD" w:rsidRPr="003145CD">
        <w:rPr>
          <w:rFonts w:ascii="Times New Roman" w:hAnsi="Times New Roman" w:cs="Times New Roman"/>
          <w:lang w:val="en-GB"/>
        </w:rPr>
        <w:t>he</w:t>
      </w:r>
      <w:r>
        <w:rPr>
          <w:rFonts w:ascii="Times New Roman" w:hAnsi="Times New Roman" w:cs="Times New Roman"/>
          <w:lang w:val="en-GB"/>
        </w:rPr>
        <w:t xml:space="preserve"> previously described model was</w:t>
      </w:r>
      <w:r w:rsidR="003145CD" w:rsidRPr="003145CD">
        <w:rPr>
          <w:rFonts w:ascii="Times New Roman" w:hAnsi="Times New Roman" w:cs="Times New Roman"/>
          <w:lang w:val="en-GB"/>
        </w:rPr>
        <w:t xml:space="preserve"> </w:t>
      </w:r>
      <w:r>
        <w:rPr>
          <w:rFonts w:ascii="Times New Roman" w:hAnsi="Times New Roman" w:cs="Times New Roman"/>
          <w:lang w:val="en-GB"/>
        </w:rPr>
        <w:t>introduced to an</w:t>
      </w:r>
      <w:r w:rsidR="003145CD" w:rsidRPr="003145CD">
        <w:rPr>
          <w:rFonts w:ascii="Times New Roman" w:hAnsi="Times New Roman" w:cs="Times New Roman"/>
          <w:lang w:val="en-GB"/>
        </w:rPr>
        <w:t xml:space="preserve"> interface designed as a streamlined and intuitive environment that supports clinicians in organizing patient information and managing treatment-related data efficiently. The system </w:t>
      </w:r>
      <w:r w:rsidR="002F190B" w:rsidRPr="003145CD">
        <w:rPr>
          <w:rFonts w:ascii="Times New Roman" w:hAnsi="Times New Roman" w:cs="Times New Roman"/>
          <w:lang w:val="en-GB"/>
        </w:rPr>
        <w:t>centres</w:t>
      </w:r>
      <w:r w:rsidR="003145CD" w:rsidRPr="003145CD">
        <w:rPr>
          <w:rFonts w:ascii="Times New Roman" w:hAnsi="Times New Roman" w:cs="Times New Roman"/>
          <w:lang w:val="en-GB"/>
        </w:rPr>
        <w:t xml:space="preserve"> around a </w:t>
      </w:r>
      <w:r w:rsidR="003145CD" w:rsidRPr="003145CD">
        <w:rPr>
          <w:rFonts w:ascii="Times New Roman" w:hAnsi="Times New Roman" w:cs="Times New Roman"/>
          <w:lang w:val="en-GB"/>
        </w:rPr>
        <w:lastRenderedPageBreak/>
        <w:t xml:space="preserve">clear and structured layout, beginning with a dedicated patient information section where users enter essential demographic and physiological details. Each field is carefully arranged to reflect the flow of a typical clinical assessment, with inputs for age, sex, height, weight, and other relevant descriptors positioned logically to reduce cognitive burden during data entry. The design supports both keyboard and mouse interaction, and the use of clean typography and spacing ensures that fields are easy to identify and navigate. </w:t>
      </w:r>
    </w:p>
    <w:p w14:paraId="3AFC4AA3" w14:textId="14176BB8" w:rsidR="003145CD" w:rsidRPr="003145CD" w:rsidRDefault="003145CD" w:rsidP="002A6FE8">
      <w:pPr>
        <w:spacing w:line="360" w:lineRule="auto"/>
        <w:ind w:firstLine="709"/>
        <w:jc w:val="both"/>
        <w:rPr>
          <w:rFonts w:ascii="Times New Roman" w:hAnsi="Times New Roman" w:cs="Times New Roman"/>
          <w:lang w:val="en-GB"/>
        </w:rPr>
      </w:pPr>
      <w:r w:rsidRPr="003145CD">
        <w:rPr>
          <w:rFonts w:ascii="Times New Roman" w:hAnsi="Times New Roman" w:cs="Times New Roman"/>
          <w:lang w:val="en-GB"/>
        </w:rPr>
        <w:t xml:space="preserve">One of the defining features of the interface is its medication input module. Instead of relying on static dropdown menus or long checklists, the system incorporates an intelligent autocomplete text box that recognizes medication names from a curated and standardized list. As the user begins typing, the interface dynamically suggests matching drug names, significantly reducing errors caused by misspellings or inconsistencies in nomenclature. This approach also accommodates scenarios in which patients take multiple medications: users simply add them one by one, with each entry automatically converted into the standardized format used internally by the system. This improves data quality and ensures that later analyses are based on harmonized medication descriptions regardless of how the user initially typed them. </w:t>
      </w:r>
    </w:p>
    <w:p w14:paraId="4AB05AAD" w14:textId="312036DE" w:rsidR="003145CD" w:rsidRPr="003145CD" w:rsidRDefault="003145CD" w:rsidP="002A6FE8">
      <w:pPr>
        <w:spacing w:line="360" w:lineRule="auto"/>
        <w:ind w:firstLine="709"/>
        <w:jc w:val="both"/>
        <w:rPr>
          <w:rFonts w:ascii="Times New Roman" w:hAnsi="Times New Roman" w:cs="Times New Roman"/>
          <w:lang w:val="en-GB"/>
        </w:rPr>
      </w:pPr>
      <w:r w:rsidRPr="003145CD">
        <w:rPr>
          <w:rFonts w:ascii="Times New Roman" w:hAnsi="Times New Roman" w:cs="Times New Roman"/>
          <w:lang w:val="en-GB"/>
        </w:rPr>
        <w:t xml:space="preserve">Another important component of the interface is its integrated patient file management system. The backend relies on a robust SQLite database that securely stores patient information, medication records, timestamps, and any additional data fields that evolve during the consultation process. When the user completes an assessment, the system automatically creates or updates the patient’s file, ensuring that all information is preserved for future use. Clinicians can easily load existing patient records through a search and selection tool that presents names and identifiers in a clean, accessible format. Once a record is opened, all fields populate instantly, allowing the user to continue previous assessments, make corrections, or add new information. The interface also provides options for deleting outdated or unnecessary records, giving clinicians full control over their data while maintaining a clear and organized database. </w:t>
      </w:r>
    </w:p>
    <w:p w14:paraId="394CE9CC" w14:textId="50416EC9" w:rsidR="003145CD" w:rsidRDefault="003145CD" w:rsidP="002A6FE8">
      <w:pPr>
        <w:spacing w:line="360" w:lineRule="auto"/>
        <w:ind w:firstLine="709"/>
        <w:jc w:val="both"/>
        <w:rPr>
          <w:rFonts w:ascii="Times New Roman" w:hAnsi="Times New Roman" w:cs="Times New Roman"/>
          <w:lang w:val="en-GB"/>
        </w:rPr>
      </w:pPr>
      <w:r w:rsidRPr="003145CD">
        <w:rPr>
          <w:rFonts w:ascii="Times New Roman" w:hAnsi="Times New Roman" w:cs="Times New Roman"/>
          <w:lang w:val="en-GB"/>
        </w:rPr>
        <w:t>The user interface</w:t>
      </w:r>
      <w:r w:rsidR="00C15234">
        <w:rPr>
          <w:rFonts w:ascii="Times New Roman" w:hAnsi="Times New Roman" w:cs="Times New Roman"/>
          <w:lang w:val="en-GB"/>
        </w:rPr>
        <w:t xml:space="preserve"> (Illustration 2)</w:t>
      </w:r>
      <w:r w:rsidRPr="003145CD">
        <w:rPr>
          <w:rFonts w:ascii="Times New Roman" w:hAnsi="Times New Roman" w:cs="Times New Roman"/>
          <w:lang w:val="en-GB"/>
        </w:rPr>
        <w:t xml:space="preserve"> prioritizes accessibility and visual clarity. A scrollable main window ensures that all components remain orderly and visible, even as the system expands to include additional sections or future functionalities. Buttons for key actions</w:t>
      </w:r>
      <w:r w:rsidR="00185826">
        <w:rPr>
          <w:rFonts w:ascii="Times New Roman" w:hAnsi="Times New Roman" w:cs="Times New Roman"/>
          <w:lang w:val="en-GB"/>
        </w:rPr>
        <w:t xml:space="preserve">, </w:t>
      </w:r>
      <w:r w:rsidRPr="003145CD">
        <w:rPr>
          <w:rFonts w:ascii="Times New Roman" w:hAnsi="Times New Roman" w:cs="Times New Roman"/>
          <w:lang w:val="en-GB"/>
        </w:rPr>
        <w:t xml:space="preserve">such as saving information, clearing the form, updating files, or browsing patient </w:t>
      </w:r>
      <w:r w:rsidRPr="003145CD">
        <w:rPr>
          <w:rFonts w:ascii="Times New Roman" w:hAnsi="Times New Roman" w:cs="Times New Roman"/>
          <w:lang w:val="en-GB"/>
        </w:rPr>
        <w:lastRenderedPageBreak/>
        <w:t>history</w:t>
      </w:r>
      <w:r w:rsidR="00185826">
        <w:rPr>
          <w:rFonts w:ascii="Times New Roman" w:hAnsi="Times New Roman" w:cs="Times New Roman"/>
          <w:lang w:val="en-GB"/>
        </w:rPr>
        <w:t xml:space="preserve">, </w:t>
      </w:r>
      <w:r w:rsidRPr="003145CD">
        <w:rPr>
          <w:rFonts w:ascii="Times New Roman" w:hAnsi="Times New Roman" w:cs="Times New Roman"/>
          <w:lang w:val="en-GB"/>
        </w:rPr>
        <w:t xml:space="preserve">are placed in prominent, intuitive positions that correspond to natural user workflows. Visual groupings, margins, and spacing guide the eye across the interface, reducing the need for users to search for controls or scan cluttered layouts. This thoughtful design results in an interface that feels open, predictable, and manageable, even for users with minimal technical experience. Importantly, the program was intentionally designed to run smoothly on virtually any modern physician’s device, without the need for specialized hardware or high-performance computing resources. Its lightweight architecture, reliance on widely supported libraries, and modest processing requirements ensure that practitioners can benefit from its functionality whether they are using a basic clinic workstation, a personal laptop, or a standard office computer, making the tool both practical and broadly accessible in real-world healthcare settings. </w:t>
      </w:r>
    </w:p>
    <w:p w14:paraId="6D6F1D70" w14:textId="4D994721" w:rsidR="00E30F1C" w:rsidRDefault="00E30F1C" w:rsidP="002A6FE8">
      <w:pPr>
        <w:spacing w:line="360" w:lineRule="auto"/>
        <w:ind w:firstLine="709"/>
        <w:jc w:val="both"/>
        <w:rPr>
          <w:rFonts w:ascii="Times New Roman" w:hAnsi="Times New Roman" w:cs="Times New Roman"/>
          <w:lang w:val="en-GB"/>
        </w:rPr>
      </w:pPr>
    </w:p>
    <w:p w14:paraId="37B25EBC" w14:textId="76EDA23D" w:rsidR="00C15234" w:rsidRDefault="009700FE" w:rsidP="002A6FE8">
      <w:pPr>
        <w:spacing w:line="360" w:lineRule="auto"/>
        <w:ind w:firstLine="709"/>
        <w:jc w:val="both"/>
        <w:rPr>
          <w:rFonts w:ascii="Times New Roman" w:hAnsi="Times New Roman" w:cs="Times New Roman"/>
          <w:lang w:val="en-GB"/>
        </w:rPr>
      </w:pPr>
      <w:r>
        <w:rPr>
          <w:rFonts w:ascii="Times New Roman" w:hAnsi="Times New Roman" w:cs="Times New Roman"/>
          <w:noProof/>
        </w:rPr>
        <mc:AlternateContent>
          <mc:Choice Requires="wps">
            <w:drawing>
              <wp:anchor distT="0" distB="0" distL="114300" distR="114300" simplePos="0" relativeHeight="251658242" behindDoc="0" locked="0" layoutInCell="1" allowOverlap="1" wp14:anchorId="70F20326" wp14:editId="56115D22">
                <wp:simplePos x="0" y="0"/>
                <wp:positionH relativeFrom="margin">
                  <wp:align>center</wp:align>
                </wp:positionH>
                <wp:positionV relativeFrom="paragraph">
                  <wp:posOffset>3034030</wp:posOffset>
                </wp:positionV>
                <wp:extent cx="3956872" cy="298938"/>
                <wp:effectExtent l="0" t="0" r="5715" b="6350"/>
                <wp:wrapNone/>
                <wp:docPr id="909425392" name="Cuadro de texto 1"/>
                <wp:cNvGraphicFramePr/>
                <a:graphic xmlns:a="http://schemas.openxmlformats.org/drawingml/2006/main">
                  <a:graphicData uri="http://schemas.microsoft.com/office/word/2010/wordprocessingShape">
                    <wps:wsp>
                      <wps:cNvSpPr txBox="1"/>
                      <wps:spPr>
                        <a:xfrm>
                          <a:off x="0" y="0"/>
                          <a:ext cx="3956872" cy="298938"/>
                        </a:xfrm>
                        <a:prstGeom prst="rect">
                          <a:avLst/>
                        </a:prstGeom>
                        <a:solidFill>
                          <a:schemeClr val="lt1"/>
                        </a:solidFill>
                        <a:ln w="6350">
                          <a:noFill/>
                        </a:ln>
                      </wps:spPr>
                      <wps:txbx>
                        <w:txbxContent>
                          <w:p w14:paraId="5B722442" w14:textId="4CE0A67A" w:rsidR="009700FE" w:rsidRPr="00B43E10" w:rsidRDefault="009700FE" w:rsidP="009700FE">
                            <w:pPr>
                              <w:jc w:val="center"/>
                              <w:rPr>
                                <w:rFonts w:ascii="Times New Roman" w:hAnsi="Times New Roman" w:cs="Times New Roman"/>
                                <w:sz w:val="22"/>
                                <w:szCs w:val="22"/>
                                <w:lang w:val="en-GB"/>
                              </w:rPr>
                            </w:pPr>
                            <w:r w:rsidRPr="00B43E10">
                              <w:rPr>
                                <w:rFonts w:ascii="Times New Roman" w:hAnsi="Times New Roman" w:cs="Times New Roman"/>
                                <w:i/>
                                <w:iCs/>
                                <w:sz w:val="22"/>
                                <w:szCs w:val="22"/>
                                <w:lang w:val="en-GB"/>
                              </w:rPr>
                              <w:t xml:space="preserve">Illustration </w:t>
                            </w:r>
                            <w:r w:rsidR="0077778E">
                              <w:rPr>
                                <w:rFonts w:ascii="Times New Roman" w:hAnsi="Times New Roman" w:cs="Times New Roman"/>
                                <w:i/>
                                <w:iCs/>
                                <w:sz w:val="22"/>
                                <w:szCs w:val="22"/>
                                <w:lang w:val="en-GB"/>
                              </w:rPr>
                              <w:t>2</w:t>
                            </w:r>
                            <w:r w:rsidRPr="00B43E10">
                              <w:rPr>
                                <w:rFonts w:ascii="Times New Roman" w:hAnsi="Times New Roman" w:cs="Times New Roman"/>
                                <w:sz w:val="22"/>
                                <w:szCs w:val="22"/>
                                <w:lang w:val="en-GB"/>
                              </w:rPr>
                              <w:t xml:space="preserve">: </w:t>
                            </w:r>
                            <w:r w:rsidR="0077778E">
                              <w:rPr>
                                <w:rFonts w:ascii="Times New Roman" w:hAnsi="Times New Roman" w:cs="Times New Roman"/>
                                <w:sz w:val="22"/>
                                <w:szCs w:val="22"/>
                                <w:lang w:val="en-GB"/>
                              </w:rPr>
                              <w:t xml:space="preserve">Main screen </w:t>
                            </w:r>
                            <w:r w:rsidR="003A2A00">
                              <w:rPr>
                                <w:rFonts w:ascii="Times New Roman" w:hAnsi="Times New Roman" w:cs="Times New Roman"/>
                                <w:sz w:val="22"/>
                                <w:szCs w:val="22"/>
                                <w:lang w:val="en-GB"/>
                              </w:rPr>
                              <w:t>of the CDSS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F20326" id="_x0000_s1027" type="#_x0000_t202" style="position:absolute;left:0;text-align:left;margin-left:0;margin-top:238.9pt;width:311.55pt;height:23.55pt;z-index:25165824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" fillcolor="white [3201]" stroked="f" strokeweight=".5pt">
                <v:textbox>
                  <w:txbxContent>
                    <w:p w14:paraId="5B722442" w14:textId="4CE0A67A" w:rsidR="009700FE" w:rsidRPr="00B43E10" w:rsidRDefault="009700FE" w:rsidP="009700FE">
                      <w:pPr>
                        <w:jc w:val="center"/>
                        <w:rPr>
                          <w:rFonts w:ascii="Times New Roman" w:hAnsi="Times New Roman" w:cs="Times New Roman"/>
                          <w:sz w:val="22"/>
                          <w:szCs w:val="22"/>
                          <w:lang w:val="en-GB"/>
                        </w:rPr>
                      </w:pPr>
                      <w:r w:rsidRPr="00B43E10">
                        <w:rPr>
                          <w:rFonts w:ascii="Times New Roman" w:hAnsi="Times New Roman" w:cs="Times New Roman"/>
                          <w:i/>
                          <w:iCs/>
                          <w:sz w:val="22"/>
                          <w:szCs w:val="22"/>
                          <w:lang w:val="en-GB"/>
                        </w:rPr>
                        <w:t xml:space="preserve">Illustration </w:t>
                      </w:r>
                      <w:r w:rsidR="0077778E">
                        <w:rPr>
                          <w:rFonts w:ascii="Times New Roman" w:hAnsi="Times New Roman" w:cs="Times New Roman"/>
                          <w:i/>
                          <w:iCs/>
                          <w:sz w:val="22"/>
                          <w:szCs w:val="22"/>
                          <w:lang w:val="en-GB"/>
                        </w:rPr>
                        <w:t>2</w:t>
                      </w:r>
                      <w:r w:rsidRPr="00B43E10">
                        <w:rPr>
                          <w:rFonts w:ascii="Times New Roman" w:hAnsi="Times New Roman" w:cs="Times New Roman"/>
                          <w:sz w:val="22"/>
                          <w:szCs w:val="22"/>
                          <w:lang w:val="en-GB"/>
                        </w:rPr>
                        <w:t xml:space="preserve">: </w:t>
                      </w:r>
                      <w:r w:rsidR="0077778E">
                        <w:rPr>
                          <w:rFonts w:ascii="Times New Roman" w:hAnsi="Times New Roman" w:cs="Times New Roman"/>
                          <w:sz w:val="22"/>
                          <w:szCs w:val="22"/>
                          <w:lang w:val="en-GB"/>
                        </w:rPr>
                        <w:t xml:space="preserve">Main screen </w:t>
                      </w:r>
                      <w:r w:rsidR="003A2A00">
                        <w:rPr>
                          <w:rFonts w:ascii="Times New Roman" w:hAnsi="Times New Roman" w:cs="Times New Roman"/>
                          <w:sz w:val="22"/>
                          <w:szCs w:val="22"/>
                          <w:lang w:val="en-GB"/>
                        </w:rPr>
                        <w:t>of the CDSS</w:t>
                      </w:r>
                    </w:p>
                  </w:txbxContent>
                </v:textbox>
                <w10:wrap anchorx="margin"/>
              </v:shape>
            </w:pict>
          </mc:Fallback>
        </mc:AlternateContent>
      </w:r>
      <w:r w:rsidRPr="009700FE">
        <w:rPr>
          <w:rFonts w:ascii="Times New Roman" w:hAnsi="Times New Roman" w:cs="Times New Roman"/>
          <w:noProof/>
        </w:rPr>
        <w:drawing>
          <wp:anchor distT="0" distB="0" distL="114300" distR="114300" simplePos="0" relativeHeight="251658243" behindDoc="0" locked="0" layoutInCell="1" allowOverlap="1" wp14:anchorId="1D27A0CD" wp14:editId="61514F40">
            <wp:simplePos x="0" y="0"/>
            <wp:positionH relativeFrom="margin">
              <wp:align>center</wp:align>
            </wp:positionH>
            <wp:positionV relativeFrom="paragraph">
              <wp:posOffset>1905</wp:posOffset>
            </wp:positionV>
            <wp:extent cx="5612130" cy="2967990"/>
            <wp:effectExtent l="0" t="0" r="1270" b="3810"/>
            <wp:wrapTopAndBottom/>
            <wp:docPr id="8" name="Imagen 7">
              <a:extLst xmlns:a="http://schemas.openxmlformats.org/drawingml/2006/main">
                <a:ext uri="{FF2B5EF4-FFF2-40B4-BE49-F238E27FC236}">
                  <a16:creationId xmlns:a16="http://schemas.microsoft.com/office/drawing/2014/main" id="{B12E3632-FB09-DF2D-2F52-6CBF78A2CF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B12E3632-FB09-DF2D-2F52-6CBF78A2CFE0}"/>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2967990"/>
                    </a:xfrm>
                    <a:prstGeom prst="rect">
                      <a:avLst/>
                    </a:prstGeom>
                  </pic:spPr>
                </pic:pic>
              </a:graphicData>
            </a:graphic>
            <wp14:sizeRelH relativeFrom="page">
              <wp14:pctWidth>0</wp14:pctWidth>
            </wp14:sizeRelH>
            <wp14:sizeRelV relativeFrom="page">
              <wp14:pctHeight>0</wp14:pctHeight>
            </wp14:sizeRelV>
          </wp:anchor>
        </w:drawing>
      </w:r>
    </w:p>
    <w:p w14:paraId="344EF333" w14:textId="243095C0" w:rsidR="00C15234" w:rsidRDefault="00C15234" w:rsidP="009700FE">
      <w:pPr>
        <w:spacing w:line="360" w:lineRule="auto"/>
        <w:jc w:val="both"/>
        <w:rPr>
          <w:rFonts w:ascii="Times New Roman" w:hAnsi="Times New Roman" w:cs="Times New Roman"/>
          <w:lang w:val="en-GB"/>
        </w:rPr>
      </w:pPr>
    </w:p>
    <w:p w14:paraId="185AA3B8" w14:textId="77777777" w:rsidR="009700FE" w:rsidRPr="003145CD" w:rsidRDefault="009700FE" w:rsidP="009700FE">
      <w:pPr>
        <w:spacing w:line="360" w:lineRule="auto"/>
        <w:jc w:val="both"/>
        <w:rPr>
          <w:rFonts w:ascii="Times New Roman" w:hAnsi="Times New Roman" w:cs="Times New Roman"/>
          <w:lang w:val="en-GB"/>
        </w:rPr>
      </w:pPr>
    </w:p>
    <w:p w14:paraId="05BD28EC" w14:textId="4FB3AA9E" w:rsidR="003145CD" w:rsidRPr="003145CD" w:rsidRDefault="003145CD" w:rsidP="002A6FE8">
      <w:pPr>
        <w:spacing w:line="360" w:lineRule="auto"/>
        <w:ind w:firstLine="709"/>
        <w:jc w:val="both"/>
        <w:rPr>
          <w:rFonts w:ascii="Times New Roman" w:hAnsi="Times New Roman" w:cs="Times New Roman"/>
          <w:lang w:val="en-GB"/>
        </w:rPr>
      </w:pPr>
      <w:r w:rsidRPr="003145CD">
        <w:rPr>
          <w:rFonts w:ascii="Times New Roman" w:hAnsi="Times New Roman" w:cs="Times New Roman"/>
          <w:lang w:val="en-GB"/>
        </w:rPr>
        <w:t xml:space="preserve">Beyond usability, the interface delivers several important practical benefits. It centralizes patient information, reducing reliance on multiple tools or paper records and minimizing the risk of data fragmentation. Because entries remain consistent and standardized, clinicians can trust that patient histories remain accurate and complete over time. The ability to update existing records rather than recreate them enhances efficiency and </w:t>
      </w:r>
      <w:r w:rsidRPr="003145CD">
        <w:rPr>
          <w:rFonts w:ascii="Times New Roman" w:hAnsi="Times New Roman" w:cs="Times New Roman"/>
          <w:lang w:val="en-GB"/>
        </w:rPr>
        <w:lastRenderedPageBreak/>
        <w:t xml:space="preserve">supports longitudinal monitoring, allowing clinicians to compare past and present data during follow-up consultations. The interface also encourages better documentation habits by making it easy to save, review, and modify patient files in a structured manner. </w:t>
      </w:r>
    </w:p>
    <w:p w14:paraId="7316EDE6" w14:textId="77777777" w:rsidR="002A6FE8" w:rsidRDefault="003145CD" w:rsidP="002A6FE8">
      <w:pPr>
        <w:spacing w:line="360" w:lineRule="auto"/>
        <w:ind w:firstLine="709"/>
        <w:jc w:val="both"/>
        <w:rPr>
          <w:rFonts w:ascii="Times New Roman" w:hAnsi="Times New Roman" w:cs="Times New Roman"/>
          <w:lang w:val="en-GB"/>
        </w:rPr>
      </w:pPr>
      <w:r w:rsidRPr="003145CD">
        <w:rPr>
          <w:rFonts w:ascii="Times New Roman" w:hAnsi="Times New Roman" w:cs="Times New Roman"/>
          <w:lang w:val="en-GB"/>
        </w:rPr>
        <w:t xml:space="preserve">Despite its strengths, the system also provides opportunities for continuous improvement. Future extensions could include integration with hospital information systems or electronic health records to automate data import and export, thereby reducing manual entry. Additional modules—such as laboratory results, imaging reports, or clinical notes—could enrich patient profiles and support more comprehensive clinical decision-making. User personalization features, including customizable layouts or quick-access shortcuts, could improve workflow efficiency for different medical specialties. </w:t>
      </w:r>
    </w:p>
    <w:p w14:paraId="2FA6BA86" w14:textId="47777D71" w:rsidR="000108A4" w:rsidRDefault="003145CD" w:rsidP="002A6FE8">
      <w:pPr>
        <w:spacing w:line="360" w:lineRule="auto"/>
        <w:ind w:firstLine="709"/>
        <w:jc w:val="both"/>
        <w:rPr>
          <w:rFonts w:ascii="Times New Roman" w:hAnsi="Times New Roman" w:cs="Times New Roman"/>
          <w:lang w:val="en-GB"/>
        </w:rPr>
      </w:pPr>
      <w:r w:rsidRPr="003145CD">
        <w:rPr>
          <w:rFonts w:ascii="Times New Roman" w:hAnsi="Times New Roman" w:cs="Times New Roman"/>
          <w:lang w:val="en-GB"/>
        </w:rPr>
        <w:t xml:space="preserve">Finally, expanding the interface to mobile or web-based platforms would increase accessibility and enable the system to support clinicians across a wider range of care environments.  </w:t>
      </w:r>
      <w:r w:rsidR="00830AD1" w:rsidRPr="00830AD1">
        <w:rPr>
          <w:rFonts w:ascii="Times New Roman" w:hAnsi="Times New Roman" w:cs="Times New Roman"/>
          <w:lang w:val="en-GB"/>
        </w:rPr>
        <w:t>This tool allows a prescribing physician to input the patient data (such as age, weight, height, gender, etc.). The system then evaluates this data in real-time and returns both metrics: the statistical probability from the PE model and the predictive risk score from the ML model. This dual output provides clinicians with both an interpretable probability and a high-accuracy predictive assessment, enabling a truly evidence-based decision at the point of care.</w:t>
      </w:r>
    </w:p>
    <w:p w14:paraId="62F76260" w14:textId="3B45C11D" w:rsidR="001B0A55" w:rsidRDefault="001B0A55" w:rsidP="002A6FE8">
      <w:pPr>
        <w:spacing w:line="360" w:lineRule="auto"/>
        <w:ind w:firstLine="709"/>
        <w:jc w:val="both"/>
        <w:rPr>
          <w:rFonts w:ascii="Times New Roman" w:hAnsi="Times New Roman" w:cs="Times New Roman"/>
          <w:lang w:val="en-GB"/>
        </w:rPr>
      </w:pPr>
    </w:p>
    <w:p w14:paraId="6D9C5AFE" w14:textId="114153E6" w:rsidR="00F046F1" w:rsidRPr="002E3E72" w:rsidRDefault="00F046F1" w:rsidP="001B0A55">
      <w:pPr>
        <w:pBdr>
          <w:top w:val="single" w:sz="18" w:space="1" w:color="000000" w:themeColor="text1"/>
          <w:left w:val="single" w:sz="18" w:space="4" w:color="000000" w:themeColor="text1"/>
          <w:bottom w:val="single" w:sz="18" w:space="1" w:color="000000" w:themeColor="text1"/>
          <w:right w:val="single" w:sz="18" w:space="4" w:color="000000" w:themeColor="text1"/>
        </w:pBdr>
        <w:spacing w:line="360" w:lineRule="auto"/>
        <w:jc w:val="both"/>
        <w:rPr>
          <w:rFonts w:ascii="Times New Roman" w:eastAsia="Times New Roman" w:hAnsi="Times New Roman" w:cs="Times New Roman"/>
          <w:lang w:val="en-US"/>
        </w:rPr>
      </w:pPr>
      <w:r w:rsidRPr="002E3E72">
        <w:rPr>
          <w:rFonts w:ascii="Times New Roman" w:eastAsia="Times New Roman" w:hAnsi="Times New Roman" w:cs="Times New Roman"/>
          <w:lang w:val="en-US"/>
        </w:rPr>
        <w:t>The whole data analysis</w:t>
      </w:r>
      <w:r w:rsidR="00A31434" w:rsidRPr="002E3E72">
        <w:rPr>
          <w:rFonts w:ascii="Times New Roman" w:eastAsia="Times New Roman" w:hAnsi="Times New Roman" w:cs="Times New Roman"/>
          <w:lang w:val="en-US"/>
        </w:rPr>
        <w:t xml:space="preserve">, </w:t>
      </w:r>
      <w:r w:rsidR="00083844" w:rsidRPr="002E3E72">
        <w:rPr>
          <w:rFonts w:ascii="Times New Roman" w:eastAsia="Times New Roman" w:hAnsi="Times New Roman" w:cs="Times New Roman"/>
          <w:lang w:val="en-US"/>
        </w:rPr>
        <w:t>th</w:t>
      </w:r>
      <w:r w:rsidR="00D9013F" w:rsidRPr="002E3E72">
        <w:rPr>
          <w:rFonts w:ascii="Times New Roman" w:eastAsia="Times New Roman" w:hAnsi="Times New Roman" w:cs="Times New Roman"/>
          <w:lang w:val="en-US"/>
        </w:rPr>
        <w:t xml:space="preserve">e </w:t>
      </w:r>
      <w:r w:rsidR="00A31434" w:rsidRPr="002E3E72">
        <w:rPr>
          <w:rFonts w:ascii="Times New Roman" w:eastAsia="Times New Roman" w:hAnsi="Times New Roman" w:cs="Times New Roman"/>
          <w:lang w:val="en-US"/>
        </w:rPr>
        <w:t>d</w:t>
      </w:r>
      <w:r w:rsidRPr="002E3E72">
        <w:rPr>
          <w:rFonts w:ascii="Times New Roman" w:eastAsia="Times New Roman" w:hAnsi="Times New Roman" w:cs="Times New Roman"/>
          <w:lang w:val="en-US"/>
        </w:rPr>
        <w:t>evelopment of the dual approach methodology</w:t>
      </w:r>
      <w:r w:rsidR="007862C3" w:rsidRPr="002E3E72">
        <w:rPr>
          <w:rFonts w:ascii="Times New Roman" w:eastAsia="Times New Roman" w:hAnsi="Times New Roman" w:cs="Times New Roman"/>
          <w:lang w:val="en-US"/>
        </w:rPr>
        <w:t xml:space="preserve"> and the</w:t>
      </w:r>
      <w:r w:rsidR="00C91963" w:rsidRPr="002E3E72">
        <w:rPr>
          <w:rFonts w:ascii="Times New Roman" w:eastAsia="Times New Roman" w:hAnsi="Times New Roman" w:cs="Times New Roman"/>
          <w:lang w:val="en-US"/>
        </w:rPr>
        <w:t xml:space="preserve"> </w:t>
      </w:r>
      <w:r w:rsidR="001B0A55" w:rsidRPr="002E3E72">
        <w:rPr>
          <w:rFonts w:ascii="Times New Roman" w:eastAsia="Times New Roman" w:hAnsi="Times New Roman" w:cs="Times New Roman"/>
          <w:lang w:val="en-US"/>
        </w:rPr>
        <w:t>code for the user-friendly interface are</w:t>
      </w:r>
      <w:r w:rsidRPr="002E3E72">
        <w:rPr>
          <w:rFonts w:ascii="Times New Roman" w:eastAsia="Times New Roman" w:hAnsi="Times New Roman" w:cs="Times New Roman"/>
          <w:lang w:val="en-US"/>
        </w:rPr>
        <w:t xml:space="preserve"> available on: </w:t>
      </w:r>
      <w:hyperlink r:id="rId14" w:history="1">
        <w:r w:rsidRPr="002E3E72">
          <w:rPr>
            <w:rStyle w:val="Hyperlink"/>
            <w:rFonts w:ascii="Times New Roman" w:eastAsia="Times New Roman" w:hAnsi="Times New Roman" w:cs="Times New Roman"/>
            <w:lang w:val="en-US"/>
          </w:rPr>
          <w:t>https://github.com/heritaco/Cephalosporines</w:t>
        </w:r>
      </w:hyperlink>
    </w:p>
    <w:p w14:paraId="3E6DD8DC" w14:textId="4520B3A4" w:rsidR="00830AD1" w:rsidRDefault="00830AD1" w:rsidP="005D19D2">
      <w:pPr>
        <w:spacing w:line="360" w:lineRule="auto"/>
        <w:jc w:val="both"/>
        <w:rPr>
          <w:rFonts w:ascii="Times New Roman" w:hAnsi="Times New Roman" w:cs="Times New Roman"/>
          <w:b/>
          <w:bCs/>
          <w:lang w:val="en-GB"/>
        </w:rPr>
      </w:pPr>
    </w:p>
    <w:p w14:paraId="39E266DA" w14:textId="77777777" w:rsidR="00F046F1" w:rsidRDefault="00F046F1" w:rsidP="005D19D2">
      <w:pPr>
        <w:spacing w:line="360" w:lineRule="auto"/>
        <w:jc w:val="both"/>
        <w:rPr>
          <w:rFonts w:ascii="Times New Roman" w:hAnsi="Times New Roman" w:cs="Times New Roman"/>
          <w:b/>
          <w:bCs/>
          <w:lang w:val="en-GB"/>
        </w:rPr>
      </w:pPr>
    </w:p>
    <w:p w14:paraId="6331AE52" w14:textId="63F4567C" w:rsidR="00882A44" w:rsidRDefault="00882A44" w:rsidP="005D19D2">
      <w:pPr>
        <w:spacing w:line="360" w:lineRule="auto"/>
        <w:jc w:val="both"/>
        <w:rPr>
          <w:rFonts w:ascii="Times New Roman" w:hAnsi="Times New Roman" w:cs="Times New Roman"/>
          <w:b/>
          <w:bCs/>
          <w:lang w:val="en-GB"/>
        </w:rPr>
      </w:pPr>
      <w:r>
        <w:rPr>
          <w:rFonts w:ascii="Times New Roman" w:hAnsi="Times New Roman" w:cs="Times New Roman"/>
          <w:b/>
          <w:bCs/>
          <w:lang w:val="en-GB"/>
        </w:rPr>
        <w:t>Discussion</w:t>
      </w:r>
    </w:p>
    <w:p w14:paraId="289A80BC" w14:textId="2B7196D4" w:rsidR="1791EF5A" w:rsidRPr="00A158E3" w:rsidRDefault="1791EF5A" w:rsidP="005D19D2">
      <w:pPr>
        <w:spacing w:line="360" w:lineRule="auto"/>
        <w:jc w:val="both"/>
        <w:rPr>
          <w:rFonts w:ascii="Times New Roman" w:eastAsia="Times New Roman" w:hAnsi="Times New Roman" w:cs="Times New Roman"/>
          <w:lang w:val="en-US"/>
        </w:rPr>
      </w:pPr>
      <w:r w:rsidRPr="48B675AA">
        <w:rPr>
          <w:rFonts w:ascii="Times New Roman" w:eastAsia="Times New Roman" w:hAnsi="Times New Roman" w:cs="Times New Roman"/>
          <w:lang w:val="en-US"/>
        </w:rPr>
        <w:t xml:space="preserve">The development of this clinical decision support system (CDSS) emerges as a direct response to the uncertainty generated by non-specific health alerts </w:t>
      </w:r>
      <w:r w:rsidR="359904E9" w:rsidRPr="48B675AA">
        <w:rPr>
          <w:rFonts w:ascii="Times New Roman" w:eastAsia="Times New Roman" w:hAnsi="Times New Roman" w:cs="Times New Roman"/>
          <w:lang w:val="en-US"/>
        </w:rPr>
        <w:t>such as</w:t>
      </w:r>
      <w:r w:rsidRPr="48B675AA">
        <w:rPr>
          <w:rFonts w:ascii="Times New Roman" w:eastAsia="Times New Roman" w:hAnsi="Times New Roman" w:cs="Times New Roman"/>
          <w:lang w:val="en-US"/>
        </w:rPr>
        <w:t xml:space="preserve"> the risk of seizures associated with cephalosporins. While regulatory agencies, such as COFEPRIS in Mexico, issue warnings based on international evidence, these lack the most essential evidential support for decision-making at the point of care, as they warn of a risk associated to a drug class, without providing local data or stratifying the risk by specific patient or drug involved. </w:t>
      </w:r>
      <w:r w:rsidRPr="48B675AA">
        <w:rPr>
          <w:rFonts w:ascii="Times New Roman" w:eastAsia="Times New Roman" w:hAnsi="Times New Roman" w:cs="Times New Roman"/>
          <w:lang w:val="en-US"/>
        </w:rPr>
        <w:lastRenderedPageBreak/>
        <w:t>In this sense, our interface is designed precisely to bridge this gap, translating a general alert into a personalized and actionable risk assessment.</w:t>
      </w:r>
    </w:p>
    <w:p w14:paraId="651F8F8E" w14:textId="77777777" w:rsidR="00A158E3" w:rsidRPr="00A158E3" w:rsidRDefault="00A158E3" w:rsidP="00A60ED9">
      <w:pPr>
        <w:spacing w:line="360" w:lineRule="auto"/>
        <w:ind w:firstLine="708"/>
        <w:jc w:val="both"/>
        <w:rPr>
          <w:rFonts w:ascii="Times New Roman" w:hAnsi="Times New Roman" w:cs="Times New Roman"/>
        </w:rPr>
      </w:pPr>
      <w:r w:rsidRPr="00A158E3">
        <w:rPr>
          <w:rFonts w:ascii="Times New Roman" w:hAnsi="Times New Roman" w:cs="Times New Roman"/>
        </w:rPr>
        <w:t>The reliance on international alerts in low- and middle-income countries (LMICs), as a direct consequence of inefficient local pharmacovigilance practices, has a significant impact on the clinical management of patients. In this sense, the developed tool could be helpful in the aspects listed before.</w:t>
      </w:r>
    </w:p>
    <w:p w14:paraId="06D3218B" w14:textId="77777777" w:rsidR="00A158E3" w:rsidRPr="00A158E3" w:rsidRDefault="00A158E3" w:rsidP="00A60ED9">
      <w:pPr>
        <w:spacing w:line="360" w:lineRule="auto"/>
        <w:ind w:firstLine="708"/>
        <w:jc w:val="both"/>
        <w:rPr>
          <w:rFonts w:ascii="Times New Roman" w:hAnsi="Times New Roman" w:cs="Times New Roman"/>
        </w:rPr>
      </w:pPr>
      <w:r w:rsidRPr="00A158E3">
        <w:rPr>
          <w:rFonts w:ascii="Times New Roman" w:hAnsi="Times New Roman" w:cs="Times New Roman"/>
        </w:rPr>
        <w:t>First, the current problem is that a physician, alarmed by a general alert may choose to "unnecessarily avoid safe and effective agents," as was noted in the introduction. This avoidance behavior leads to a false sense of security and a loss of valuable data, as the drug is not used in the patient who would have benefited, and its true safety profile in the local population is never observed. Our tool, by quantifying the risk and showing it to be low in many patients, gives the physician the confidence to prescribe the appropriate agent, thus combating the risk of misinformation.</w:t>
      </w:r>
    </w:p>
    <w:p w14:paraId="0D229753" w14:textId="0F505DC7" w:rsidR="00A158E3" w:rsidRDefault="00A158E3" w:rsidP="00A60ED9">
      <w:pPr>
        <w:spacing w:line="360" w:lineRule="auto"/>
        <w:ind w:firstLine="708"/>
        <w:jc w:val="both"/>
        <w:rPr>
          <w:rFonts w:ascii="Times New Roman" w:hAnsi="Times New Roman" w:cs="Times New Roman"/>
          <w:lang w:val="en-US"/>
        </w:rPr>
      </w:pPr>
      <w:r w:rsidRPr="248BEF3A">
        <w:rPr>
          <w:rFonts w:ascii="Times New Roman" w:hAnsi="Times New Roman" w:cs="Times New Roman"/>
          <w:lang w:val="en-US"/>
        </w:rPr>
        <w:t>On the opposite scenario, sensitization from the alert can cause over-attribution, and any neurological event in a patient receiving cephalospori</w:t>
      </w:r>
      <w:r w:rsidR="2BFF30EE" w:rsidRPr="248BEF3A">
        <w:rPr>
          <w:rFonts w:ascii="Times New Roman" w:hAnsi="Times New Roman" w:cs="Times New Roman"/>
          <w:lang w:val="en-US"/>
        </w:rPr>
        <w:t>n</w:t>
      </w:r>
      <w:r w:rsidRPr="248BEF3A">
        <w:rPr>
          <w:rFonts w:ascii="Times New Roman" w:hAnsi="Times New Roman" w:cs="Times New Roman"/>
          <w:lang w:val="en-US"/>
        </w:rPr>
        <w:t xml:space="preserve">s, even low-risk ones, could be attributed and reported as an Adverse Drug Reaction (ADR). This situation could saturate the PV system with weak or false signals. In this sense, our interface acts as a quality filter: If the tool predicts a high risk for the "Nervous system disorders" SOC and the patient presents an event, the resulting </w:t>
      </w:r>
      <w:r w:rsidRPr="1EE3AECD">
        <w:rPr>
          <w:rFonts w:ascii="Times New Roman" w:hAnsi="Times New Roman" w:cs="Times New Roman"/>
          <w:lang w:val="en-US"/>
        </w:rPr>
        <w:t>report</w:t>
      </w:r>
      <w:r w:rsidR="5890D4B7" w:rsidRPr="1EE3AECD">
        <w:rPr>
          <w:rFonts w:ascii="Times New Roman" w:hAnsi="Times New Roman" w:cs="Times New Roman"/>
          <w:lang w:val="en-US"/>
        </w:rPr>
        <w:t xml:space="preserve"> </w:t>
      </w:r>
      <w:r w:rsidRPr="1EE3AECD">
        <w:rPr>
          <w:rFonts w:ascii="Times New Roman" w:hAnsi="Times New Roman" w:cs="Times New Roman"/>
          <w:lang w:val="en-US"/>
        </w:rPr>
        <w:t>becomes</w:t>
      </w:r>
      <w:r w:rsidRPr="248BEF3A">
        <w:rPr>
          <w:rFonts w:ascii="Times New Roman" w:hAnsi="Times New Roman" w:cs="Times New Roman"/>
          <w:lang w:val="en-US"/>
        </w:rPr>
        <w:t xml:space="preserve"> a high-quality signal worthy of investigation. Conversely, an event in a patient with a low predicted risk would prompt the clinician to investigate other underlying causes.</w:t>
      </w:r>
    </w:p>
    <w:p w14:paraId="05BAF673" w14:textId="6F12DBAD" w:rsidR="00296D32" w:rsidRDefault="00296D32" w:rsidP="00A60ED9">
      <w:pPr>
        <w:spacing w:line="360" w:lineRule="auto"/>
        <w:ind w:firstLine="708"/>
        <w:jc w:val="both"/>
        <w:rPr>
          <w:rFonts w:ascii="Times New Roman" w:hAnsi="Times New Roman" w:cs="Times New Roman"/>
        </w:rPr>
      </w:pPr>
      <w:r w:rsidRPr="00296D32">
        <w:rPr>
          <w:rFonts w:ascii="Times New Roman" w:hAnsi="Times New Roman" w:cs="Times New Roman"/>
        </w:rPr>
        <w:t>Perhaps</w:t>
      </w:r>
      <w:r w:rsidR="00191630">
        <w:rPr>
          <w:rFonts w:ascii="Times New Roman" w:hAnsi="Times New Roman" w:cs="Times New Roman"/>
        </w:rPr>
        <w:t>,</w:t>
      </w:r>
      <w:r w:rsidRPr="00296D32">
        <w:rPr>
          <w:rFonts w:ascii="Times New Roman" w:hAnsi="Times New Roman" w:cs="Times New Roman"/>
        </w:rPr>
        <w:t xml:space="preserve"> the most critical impact of non-specific alerts is the promotion of inappropriate therapeutic substitution, a known driver of antimicrobial resistance (AMR). In this context, our tool functions as a vital mechanism for Antimicrobial Stewardship by directly addressing the risks identified in the introduction, where uncertainty often leads to the use of less appropriate or more costly alternatives. The greatest danger here is a class avoidance behavior, where a physician, fearing the seizure risk of all cephalosporins, might precipitously jump to a last-resort antibiotic. To mitigate this, the interface facilitates alignment with the WHO AWaRe classification, allowing physicians to confidently use cephalosporins from the "Access" or "Watch" lists, rather than unnecessarily escalating to "Reserve" antibiotics.</w:t>
      </w:r>
    </w:p>
    <w:p w14:paraId="11989618" w14:textId="48FCCFE1" w:rsidR="002B435C" w:rsidRDefault="00000C84" w:rsidP="00A60ED9">
      <w:pPr>
        <w:spacing w:line="360" w:lineRule="auto"/>
        <w:ind w:firstLine="708"/>
        <w:jc w:val="both"/>
        <w:rPr>
          <w:rFonts w:ascii="Times New Roman" w:hAnsi="Times New Roman" w:cs="Times New Roman"/>
          <w:lang w:val="en-US"/>
        </w:rPr>
      </w:pPr>
      <w:r w:rsidRPr="62970A20">
        <w:rPr>
          <w:rFonts w:ascii="Times New Roman" w:hAnsi="Times New Roman" w:cs="Times New Roman"/>
          <w:lang w:val="en-US"/>
        </w:rPr>
        <w:lastRenderedPageBreak/>
        <w:t>Specifically, this carbapenem-sparing effect prevents the increased use of agents like meropenem for infections that a standard cephalosporin could have resolved, thereby slowing the selection of carbapenem-producing Enterobacteriaceae, which represents a devastating global public health threat. Moreover, the tool reinforces evidence-based guidelines by reconciling the gap between clinical evidence, which supports cephalosporins as essential medicines, and the safety fears generated by regulatory alerts.</w:t>
      </w:r>
      <w:r w:rsidR="1642D04A" w:rsidRPr="62970A20">
        <w:rPr>
          <w:rFonts w:ascii="Times New Roman" w:hAnsi="Times New Roman" w:cs="Times New Roman"/>
          <w:lang w:val="en-US"/>
        </w:rPr>
        <w:t xml:space="preserve"> </w:t>
      </w:r>
      <w:r w:rsidRPr="62970A20">
        <w:rPr>
          <w:rFonts w:ascii="Times New Roman" w:hAnsi="Times New Roman" w:cs="Times New Roman"/>
          <w:lang w:val="en-US"/>
        </w:rPr>
        <w:t>By demonstrating that the risk is patient- and drug-specific rather than universal, it promotes rational prescribing that remains aligned with established guidelines.</w:t>
      </w:r>
    </w:p>
    <w:p w14:paraId="30226C60" w14:textId="122A5D08" w:rsidR="00000C84" w:rsidRDefault="00F87FC1" w:rsidP="00A60ED9">
      <w:pPr>
        <w:spacing w:line="360" w:lineRule="auto"/>
        <w:ind w:firstLine="708"/>
        <w:jc w:val="both"/>
        <w:rPr>
          <w:rFonts w:ascii="Times New Roman" w:hAnsi="Times New Roman" w:cs="Times New Roman"/>
        </w:rPr>
      </w:pPr>
      <w:r w:rsidRPr="00F87FC1">
        <w:rPr>
          <w:rFonts w:ascii="Times New Roman" w:hAnsi="Times New Roman" w:cs="Times New Roman"/>
        </w:rPr>
        <w:t>Nevertheless, despite its potential, the implementation of this model in the Mexican context and other low- and middle-income countries faces the very same barriers it criticizes in current health alerts. A primary limitation concerns the lack of regional pharmacovigilance data, which directly impacts the validity of the training set. If the model relies heavily on international databases like</w:t>
      </w:r>
      <w:r w:rsidR="00804D9C">
        <w:rPr>
          <w:rFonts w:ascii="Times New Roman" w:hAnsi="Times New Roman" w:cs="Times New Roman"/>
        </w:rPr>
        <w:t xml:space="preserve"> the ones used </w:t>
      </w:r>
      <w:r w:rsidR="00486F7A">
        <w:rPr>
          <w:rFonts w:ascii="Times New Roman" w:hAnsi="Times New Roman" w:cs="Times New Roman"/>
        </w:rPr>
        <w:t>in the development of our model or</w:t>
      </w:r>
      <w:r w:rsidRPr="00F87FC1">
        <w:rPr>
          <w:rFonts w:ascii="Times New Roman" w:hAnsi="Times New Roman" w:cs="Times New Roman"/>
        </w:rPr>
        <w:t xml:space="preserve"> VigiBase, its predictive accuracy in the Mexican population remains questionable; therefore, to truly overcome the problem of alerts based on international evidence, the tool requires prospective validation and recalibration using local data.</w:t>
      </w:r>
    </w:p>
    <w:p w14:paraId="73059FE7" w14:textId="2BF22E17" w:rsidR="00F87FC1" w:rsidRPr="00A158E3" w:rsidRDefault="00191016" w:rsidP="00486F7A">
      <w:pPr>
        <w:spacing w:line="360" w:lineRule="auto"/>
        <w:ind w:firstLine="708"/>
        <w:jc w:val="both"/>
        <w:rPr>
          <w:rFonts w:ascii="Times New Roman" w:hAnsi="Times New Roman" w:cs="Times New Roman"/>
        </w:rPr>
      </w:pPr>
      <w:r w:rsidRPr="00191016">
        <w:rPr>
          <w:rFonts w:ascii="Times New Roman" w:hAnsi="Times New Roman" w:cs="Times New Roman"/>
        </w:rPr>
        <w:t>Furthermore, while the current model is parsimonious to facilitate ease of use, it omits critical variables identified in the literature, such as renal impairment, prior CNS diseases, and concomitant therapies. Although this simplicity makes the model superior to a general alert, it renders it inferior to more complex tools, particularly regarding the absence of renal function, which is a known predictor of dose-dependent neurotoxicity. Finally, the utility of the tool is currently limited by a lack of clear decision algorithms. Merely presenting a physician with a "High General Risk" or an "Elevated Risk in Renal SOC" is informative but insufficient to guide clinical action. To avoid analysis paralysis and ensure the tool is transformative rather than just informative, it must be integrated with clear protocols indicating when to select an alternative, adjust the dose, or simply intensify monitoring.</w:t>
      </w:r>
    </w:p>
    <w:p w14:paraId="25688563" w14:textId="77777777" w:rsidR="00A2527E" w:rsidRDefault="00A2527E" w:rsidP="005D19D2">
      <w:pPr>
        <w:spacing w:line="360" w:lineRule="auto"/>
        <w:jc w:val="both"/>
        <w:rPr>
          <w:rFonts w:ascii="Times New Roman" w:hAnsi="Times New Roman" w:cs="Times New Roman"/>
        </w:rPr>
      </w:pPr>
    </w:p>
    <w:p w14:paraId="2F248F71" w14:textId="17398525" w:rsidR="00195655" w:rsidRPr="000B1C64" w:rsidRDefault="00195655" w:rsidP="005D19D2">
      <w:pPr>
        <w:spacing w:line="360" w:lineRule="auto"/>
        <w:jc w:val="both"/>
        <w:rPr>
          <w:rFonts w:ascii="Times New Roman" w:hAnsi="Times New Roman" w:cs="Times New Roman"/>
          <w:b/>
          <w:bCs/>
          <w:lang w:val="en-GB"/>
        </w:rPr>
      </w:pPr>
      <w:r>
        <w:rPr>
          <w:rFonts w:ascii="Times New Roman" w:hAnsi="Times New Roman" w:cs="Times New Roman"/>
          <w:b/>
          <w:bCs/>
          <w:lang w:val="en-GB"/>
        </w:rPr>
        <w:t>Conclusions</w:t>
      </w:r>
    </w:p>
    <w:p w14:paraId="25304BA4" w14:textId="177CD118" w:rsidR="4709BEBA" w:rsidRDefault="4709BEBA" w:rsidP="005D19D2">
      <w:pPr>
        <w:spacing w:line="360" w:lineRule="auto"/>
        <w:jc w:val="both"/>
      </w:pPr>
      <w:r w:rsidRPr="156D4083">
        <w:rPr>
          <w:rFonts w:ascii="Times New Roman" w:eastAsia="Times New Roman" w:hAnsi="Times New Roman" w:cs="Times New Roman"/>
          <w:lang w:val="en-GB"/>
        </w:rPr>
        <w:t xml:space="preserve">This project successfully demonstrates the development and integration of a dual-approach clinical decision support system to translate non-specific health alerts into actionable, patient-specific risk assessments. By bridging the gap between general regulatory warnings and </w:t>
      </w:r>
      <w:r w:rsidRPr="156D4083">
        <w:rPr>
          <w:rFonts w:ascii="Times New Roman" w:eastAsia="Times New Roman" w:hAnsi="Times New Roman" w:cs="Times New Roman"/>
          <w:lang w:val="en-GB"/>
        </w:rPr>
        <w:lastRenderedPageBreak/>
        <w:t>individual patient care, our tool directly confronts the problem of clinical uncertainty in low- and middle-income countries.</w:t>
      </w:r>
    </w:p>
    <w:p w14:paraId="5530A156" w14:textId="62807A58" w:rsidR="00D00B07" w:rsidRDefault="4709BEBA" w:rsidP="00351D9C">
      <w:pPr>
        <w:spacing w:line="360" w:lineRule="auto"/>
        <w:ind w:firstLine="708"/>
        <w:jc w:val="both"/>
        <w:rPr>
          <w:rFonts w:ascii="Times New Roman" w:eastAsia="Times New Roman" w:hAnsi="Times New Roman" w:cs="Times New Roman"/>
          <w:lang w:val="en-GB"/>
        </w:rPr>
      </w:pPr>
      <w:r w:rsidRPr="156D4083">
        <w:rPr>
          <w:rFonts w:ascii="Times New Roman" w:eastAsia="Times New Roman" w:hAnsi="Times New Roman" w:cs="Times New Roman"/>
          <w:lang w:val="en-GB"/>
        </w:rPr>
        <w:t xml:space="preserve">The key innovation of this system is its synthesis of two distinct methodologies: an interpretable, </w:t>
      </w:r>
      <w:r w:rsidR="000723AE" w:rsidRPr="156D4083">
        <w:rPr>
          <w:rFonts w:ascii="Times New Roman" w:eastAsia="Times New Roman" w:hAnsi="Times New Roman" w:cs="Times New Roman"/>
          <w:lang w:val="en-GB"/>
        </w:rPr>
        <w:t>pharmacoepidemiologic</w:t>
      </w:r>
      <w:r w:rsidRPr="156D4083">
        <w:rPr>
          <w:rFonts w:ascii="Times New Roman" w:eastAsia="Times New Roman" w:hAnsi="Times New Roman" w:cs="Times New Roman"/>
          <w:lang w:val="en-GB"/>
        </w:rPr>
        <w:t xml:space="preserve"> hybrid model and a high-</w:t>
      </w:r>
      <w:r w:rsidRPr="007A7B22">
        <w:rPr>
          <w:rFonts w:ascii="Times New Roman" w:eastAsia="Times New Roman" w:hAnsi="Times New Roman" w:cs="Times New Roman"/>
          <w:lang w:val="en-GB"/>
        </w:rPr>
        <w:t xml:space="preserve">performance </w:t>
      </w:r>
      <w:proofErr w:type="spellStart"/>
      <w:r w:rsidRPr="007A7B22">
        <w:rPr>
          <w:rFonts w:ascii="Times New Roman" w:eastAsia="Times New Roman" w:hAnsi="Times New Roman" w:cs="Times New Roman"/>
          <w:lang w:val="en-GB"/>
        </w:rPr>
        <w:t>CatBoost</w:t>
      </w:r>
      <w:proofErr w:type="spellEnd"/>
      <w:r w:rsidRPr="007A7B22">
        <w:rPr>
          <w:rFonts w:ascii="Times New Roman" w:eastAsia="Times New Roman" w:hAnsi="Times New Roman" w:cs="Times New Roman"/>
          <w:lang w:val="en-GB"/>
        </w:rPr>
        <w:t xml:space="preserve"> machine learning model. This combination provides healthcare professionals with a</w:t>
      </w:r>
      <w:r w:rsidRPr="156D4083">
        <w:rPr>
          <w:rFonts w:ascii="Times New Roman" w:eastAsia="Times New Roman" w:hAnsi="Times New Roman" w:cs="Times New Roman"/>
          <w:lang w:val="en-GB"/>
        </w:rPr>
        <w:t xml:space="preserve"> multifaceted view of risk, offering both a clear statistical probability and a nuanced predictive score derived from complex data patterns.</w:t>
      </w:r>
      <w:r w:rsidR="00351D9C">
        <w:rPr>
          <w:rFonts w:ascii="Times New Roman" w:eastAsia="Times New Roman" w:hAnsi="Times New Roman" w:cs="Times New Roman"/>
          <w:lang w:val="en-GB"/>
        </w:rPr>
        <w:t xml:space="preserve"> </w:t>
      </w:r>
    </w:p>
    <w:p w14:paraId="6AC3CD21" w14:textId="77777777" w:rsidR="000723AE" w:rsidRDefault="00D00B07" w:rsidP="000723AE">
      <w:pPr>
        <w:spacing w:line="360" w:lineRule="auto"/>
        <w:ind w:firstLine="708"/>
        <w:jc w:val="both"/>
        <w:rPr>
          <w:rFonts w:ascii="Times New Roman" w:eastAsia="Times New Roman" w:hAnsi="Times New Roman" w:cs="Times New Roman"/>
          <w:lang w:val="en-GB"/>
        </w:rPr>
      </w:pPr>
      <w:r>
        <w:rPr>
          <w:rFonts w:ascii="Times New Roman" w:eastAsia="Times New Roman" w:hAnsi="Times New Roman" w:cs="Times New Roman"/>
          <w:lang w:val="en-GB"/>
        </w:rPr>
        <w:t>Additionally, t</w:t>
      </w:r>
      <w:r w:rsidR="00351D9C" w:rsidRPr="00351D9C">
        <w:rPr>
          <w:rFonts w:ascii="Times New Roman" w:eastAsia="Times New Roman" w:hAnsi="Times New Roman" w:cs="Times New Roman"/>
          <w:lang w:val="en-GB"/>
        </w:rPr>
        <w:t xml:space="preserve">he </w:t>
      </w:r>
      <w:r w:rsidR="00351D9C" w:rsidRPr="6F080041">
        <w:rPr>
          <w:rFonts w:ascii="Times New Roman" w:eastAsia="Times New Roman" w:hAnsi="Times New Roman" w:cs="Times New Roman"/>
          <w:lang w:val="en-GB"/>
        </w:rPr>
        <w:t>benefit/cost ratio</w:t>
      </w:r>
      <w:r w:rsidR="00351D9C" w:rsidRPr="00351D9C">
        <w:rPr>
          <w:rFonts w:ascii="Times New Roman" w:eastAsia="Times New Roman" w:hAnsi="Times New Roman" w:cs="Times New Roman"/>
          <w:lang w:val="en-GB"/>
        </w:rPr>
        <w:t xml:space="preserve"> of this proposal is projected to be highly </w:t>
      </w:r>
      <w:r w:rsidR="000723AE" w:rsidRPr="00351D9C">
        <w:rPr>
          <w:rFonts w:ascii="Times New Roman" w:eastAsia="Times New Roman" w:hAnsi="Times New Roman" w:cs="Times New Roman"/>
          <w:lang w:val="en-GB"/>
        </w:rPr>
        <w:t>favourable</w:t>
      </w:r>
      <w:r>
        <w:rPr>
          <w:rFonts w:ascii="Times New Roman" w:eastAsia="Times New Roman" w:hAnsi="Times New Roman" w:cs="Times New Roman"/>
          <w:lang w:val="en-GB"/>
        </w:rPr>
        <w:t>, as t</w:t>
      </w:r>
      <w:r w:rsidR="00351D9C" w:rsidRPr="00351D9C">
        <w:rPr>
          <w:rFonts w:ascii="Times New Roman" w:eastAsia="Times New Roman" w:hAnsi="Times New Roman" w:cs="Times New Roman"/>
          <w:lang w:val="en-GB"/>
        </w:rPr>
        <w:t>he primary costs are front-loaded, consisting of the initial development (data sourcing, model training, and interface design) and integration</w:t>
      </w:r>
      <w:r w:rsidR="00222ECF">
        <w:rPr>
          <w:rFonts w:ascii="Times New Roman" w:eastAsia="Times New Roman" w:hAnsi="Times New Roman" w:cs="Times New Roman"/>
          <w:lang w:val="en-GB"/>
        </w:rPr>
        <w:t>, while t</w:t>
      </w:r>
      <w:r w:rsidR="00351D9C" w:rsidRPr="00351D9C">
        <w:rPr>
          <w:rFonts w:ascii="Times New Roman" w:eastAsia="Times New Roman" w:hAnsi="Times New Roman" w:cs="Times New Roman"/>
          <w:lang w:val="en-GB"/>
        </w:rPr>
        <w:t>he marginal cost per use for the clinician is negligible, as it requires no new laboratory tests, genomic sequencing, or expensive diagnostics.</w:t>
      </w:r>
      <w:r w:rsidR="00222ECF">
        <w:rPr>
          <w:rFonts w:ascii="Times New Roman" w:eastAsia="Times New Roman" w:hAnsi="Times New Roman" w:cs="Times New Roman"/>
          <w:lang w:val="en-GB"/>
        </w:rPr>
        <w:t xml:space="preserve"> Moreover, the</w:t>
      </w:r>
      <w:r w:rsidR="00351D9C" w:rsidRPr="00351D9C">
        <w:rPr>
          <w:rFonts w:ascii="Times New Roman" w:eastAsia="Times New Roman" w:hAnsi="Times New Roman" w:cs="Times New Roman"/>
          <w:lang w:val="en-GB"/>
        </w:rPr>
        <w:t xml:space="preserve"> tool directly mitigates the costs associated with preventable </w:t>
      </w:r>
      <w:r w:rsidR="00174C4A">
        <w:rPr>
          <w:rFonts w:ascii="Times New Roman" w:eastAsia="Times New Roman" w:hAnsi="Times New Roman" w:cs="Times New Roman"/>
          <w:lang w:val="en-GB"/>
        </w:rPr>
        <w:t>ADRs</w:t>
      </w:r>
      <w:r w:rsidR="00110D6B">
        <w:rPr>
          <w:rFonts w:ascii="Times New Roman" w:eastAsia="Times New Roman" w:hAnsi="Times New Roman" w:cs="Times New Roman"/>
          <w:lang w:val="en-GB"/>
        </w:rPr>
        <w:t xml:space="preserve">, </w:t>
      </w:r>
      <w:r w:rsidR="00351D9C" w:rsidRPr="00351D9C">
        <w:rPr>
          <w:rFonts w:ascii="Times New Roman" w:eastAsia="Times New Roman" w:hAnsi="Times New Roman" w:cs="Times New Roman"/>
          <w:lang w:val="en-GB"/>
        </w:rPr>
        <w:t>including costs of corrective treatment, prolonged hospitalization, and management of long-term sequelae</w:t>
      </w:r>
      <w:r w:rsidR="00110D6B">
        <w:rPr>
          <w:rFonts w:ascii="Times New Roman" w:eastAsia="Times New Roman" w:hAnsi="Times New Roman" w:cs="Times New Roman"/>
          <w:lang w:val="en-GB"/>
        </w:rPr>
        <w:t>.</w:t>
      </w:r>
      <w:r w:rsidR="000723AE">
        <w:rPr>
          <w:rFonts w:ascii="Times New Roman" w:eastAsia="Times New Roman" w:hAnsi="Times New Roman" w:cs="Times New Roman"/>
          <w:lang w:val="en-GB"/>
        </w:rPr>
        <w:t xml:space="preserve"> </w:t>
      </w:r>
      <w:r w:rsidR="000723AE" w:rsidRPr="000723AE">
        <w:rPr>
          <w:rFonts w:ascii="Times New Roman" w:eastAsia="Times New Roman" w:hAnsi="Times New Roman" w:cs="Times New Roman"/>
          <w:lang w:val="en-GB"/>
        </w:rPr>
        <w:t>he innovation of this proposal lies not in the concept of risk prediction itself, but in its pragmatic design and actionable output.</w:t>
      </w:r>
      <w:r w:rsidR="000723AE">
        <w:rPr>
          <w:rFonts w:ascii="Times New Roman" w:eastAsia="Times New Roman" w:hAnsi="Times New Roman" w:cs="Times New Roman"/>
          <w:lang w:val="en-GB"/>
        </w:rPr>
        <w:t xml:space="preserve"> </w:t>
      </w:r>
    </w:p>
    <w:p w14:paraId="2886097B" w14:textId="6BA8ACC2" w:rsidR="00351D9C" w:rsidRPr="00351D9C" w:rsidRDefault="5E55BBB7" w:rsidP="00E43BD2">
      <w:pPr>
        <w:spacing w:line="360" w:lineRule="auto"/>
        <w:ind w:firstLine="708"/>
        <w:jc w:val="both"/>
        <w:rPr>
          <w:rFonts w:ascii="Times New Roman" w:eastAsia="Times New Roman" w:hAnsi="Times New Roman" w:cs="Times New Roman"/>
          <w:lang w:val="en-GB"/>
        </w:rPr>
      </w:pPr>
      <w:r w:rsidRPr="25F7A0AC">
        <w:rPr>
          <w:rFonts w:ascii="Times New Roman" w:eastAsia="Times New Roman" w:hAnsi="Times New Roman" w:cs="Times New Roman"/>
          <w:lang w:val="en-GB"/>
        </w:rPr>
        <w:t>While</w:t>
      </w:r>
      <w:r w:rsidRPr="2704ED37">
        <w:rPr>
          <w:rFonts w:ascii="Times New Roman" w:eastAsia="Times New Roman" w:hAnsi="Times New Roman" w:cs="Times New Roman"/>
          <w:lang w:val="en-GB"/>
        </w:rPr>
        <w:t xml:space="preserve"> complex </w:t>
      </w:r>
      <w:r w:rsidRPr="52B6F1E8">
        <w:rPr>
          <w:rFonts w:ascii="Times New Roman" w:eastAsia="Times New Roman" w:hAnsi="Times New Roman" w:cs="Times New Roman"/>
          <w:lang w:val="en-GB"/>
        </w:rPr>
        <w:t xml:space="preserve">models that incorporate renal </w:t>
      </w:r>
      <w:r w:rsidRPr="0D9B61D2">
        <w:rPr>
          <w:rFonts w:ascii="Times New Roman" w:eastAsia="Times New Roman" w:hAnsi="Times New Roman" w:cs="Times New Roman"/>
          <w:lang w:val="en-GB"/>
        </w:rPr>
        <w:t xml:space="preserve">function and </w:t>
      </w:r>
      <w:r w:rsidRPr="14947FC8">
        <w:rPr>
          <w:rFonts w:ascii="Times New Roman" w:eastAsia="Times New Roman" w:hAnsi="Times New Roman" w:cs="Times New Roman"/>
          <w:lang w:val="en-GB"/>
        </w:rPr>
        <w:t>comorbidities exist</w:t>
      </w:r>
      <w:r w:rsidRPr="58B3F91F">
        <w:rPr>
          <w:rFonts w:ascii="Times New Roman" w:eastAsia="Times New Roman" w:hAnsi="Times New Roman" w:cs="Times New Roman"/>
          <w:lang w:val="en-GB"/>
        </w:rPr>
        <w:t xml:space="preserve">, the key </w:t>
      </w:r>
      <w:r w:rsidRPr="1600C723">
        <w:rPr>
          <w:rFonts w:ascii="Times New Roman" w:eastAsia="Times New Roman" w:hAnsi="Times New Roman" w:cs="Times New Roman"/>
          <w:lang w:val="en-GB"/>
        </w:rPr>
        <w:t xml:space="preserve">innovation of our </w:t>
      </w:r>
      <w:r w:rsidRPr="037E034C">
        <w:rPr>
          <w:rFonts w:ascii="Times New Roman" w:eastAsia="Times New Roman" w:hAnsi="Times New Roman" w:cs="Times New Roman"/>
          <w:lang w:val="en-GB"/>
        </w:rPr>
        <w:t xml:space="preserve">tool is its </w:t>
      </w:r>
      <w:r w:rsidRPr="5582DA31">
        <w:rPr>
          <w:rFonts w:ascii="Times New Roman" w:eastAsia="Times New Roman" w:hAnsi="Times New Roman" w:cs="Times New Roman"/>
          <w:lang w:val="en-GB"/>
        </w:rPr>
        <w:t xml:space="preserve">practical </w:t>
      </w:r>
      <w:r w:rsidRPr="283F86C7">
        <w:rPr>
          <w:rFonts w:ascii="Times New Roman" w:eastAsia="Times New Roman" w:hAnsi="Times New Roman" w:cs="Times New Roman"/>
          <w:lang w:val="en-GB"/>
        </w:rPr>
        <w:t xml:space="preserve">simplicity, making it </w:t>
      </w:r>
      <w:r w:rsidRPr="69CF532E">
        <w:rPr>
          <w:rFonts w:ascii="Times New Roman" w:eastAsia="Times New Roman" w:hAnsi="Times New Roman" w:cs="Times New Roman"/>
          <w:lang w:val="en-GB"/>
        </w:rPr>
        <w:t xml:space="preserve">highly </w:t>
      </w:r>
      <w:r w:rsidRPr="1C0CAD6D">
        <w:rPr>
          <w:rFonts w:ascii="Times New Roman" w:eastAsia="Times New Roman" w:hAnsi="Times New Roman" w:cs="Times New Roman"/>
          <w:lang w:val="en-GB"/>
        </w:rPr>
        <w:t>accessible and easy to use in</w:t>
      </w:r>
      <w:r w:rsidRPr="5676E888">
        <w:rPr>
          <w:rFonts w:ascii="Times New Roman" w:eastAsia="Times New Roman" w:hAnsi="Times New Roman" w:cs="Times New Roman"/>
          <w:lang w:val="en-GB"/>
        </w:rPr>
        <w:t xml:space="preserve"> clinical </w:t>
      </w:r>
      <w:r w:rsidRPr="7D83B808">
        <w:rPr>
          <w:rFonts w:ascii="Times New Roman" w:eastAsia="Times New Roman" w:hAnsi="Times New Roman" w:cs="Times New Roman"/>
          <w:lang w:val="en-GB"/>
        </w:rPr>
        <w:t>settings</w:t>
      </w:r>
      <w:r w:rsidR="000723AE" w:rsidRPr="7D83B808">
        <w:rPr>
          <w:rFonts w:ascii="Times New Roman" w:eastAsia="Times New Roman" w:hAnsi="Times New Roman" w:cs="Times New Roman"/>
          <w:lang w:val="en-GB"/>
        </w:rPr>
        <w:t>.</w:t>
      </w:r>
      <w:r w:rsidR="000723AE" w:rsidRPr="000723AE">
        <w:rPr>
          <w:rFonts w:ascii="Times New Roman" w:eastAsia="Times New Roman" w:hAnsi="Times New Roman" w:cs="Times New Roman"/>
          <w:lang w:val="en-GB"/>
        </w:rPr>
        <w:t xml:space="preserve"> By relying only on universally available data points (age, gender, height, and prescribed drug), it is designed for maximum accessibility in data-poor environments where creatinine clearance or Charlson scores may not be immediately available.</w:t>
      </w:r>
    </w:p>
    <w:p w14:paraId="2B128C4A" w14:textId="6FA401CA" w:rsidR="4709BEBA" w:rsidRDefault="00D006CC" w:rsidP="00E43BD2">
      <w:pPr>
        <w:spacing w:line="360" w:lineRule="auto"/>
        <w:ind w:firstLine="708"/>
        <w:jc w:val="both"/>
      </w:pPr>
      <w:r>
        <w:rPr>
          <w:rFonts w:ascii="Times New Roman" w:eastAsia="Times New Roman" w:hAnsi="Times New Roman" w:cs="Times New Roman"/>
          <w:lang w:val="en-GB"/>
        </w:rPr>
        <w:t>Overall, t</w:t>
      </w:r>
      <w:r w:rsidR="4709BEBA" w:rsidRPr="156D4083">
        <w:rPr>
          <w:rFonts w:ascii="Times New Roman" w:eastAsia="Times New Roman" w:hAnsi="Times New Roman" w:cs="Times New Roman"/>
          <w:lang w:val="en-GB"/>
        </w:rPr>
        <w:t>he resulting interactive application empowers clinicians to move from generalized, class-wide warnings about cephalosporins to personalized, evidence-based risk stratification. This work serves as a scalable prototype that can be adapted for other high-alert medications or populations, representing a tangible step toward safer and more rational medication use in resource-constrained settings.</w:t>
      </w:r>
    </w:p>
    <w:p w14:paraId="1430F98A" w14:textId="2CE5250E" w:rsidR="156D4083" w:rsidRDefault="156D4083" w:rsidP="009618A5">
      <w:pPr>
        <w:spacing w:line="360" w:lineRule="auto"/>
        <w:jc w:val="both"/>
        <w:rPr>
          <w:rFonts w:ascii="Times New Roman" w:eastAsia="Times New Roman" w:hAnsi="Times New Roman" w:cs="Times New Roman"/>
          <w:lang w:val="en-GB"/>
        </w:rPr>
      </w:pPr>
    </w:p>
    <w:p w14:paraId="22042F01" w14:textId="77777777" w:rsidR="009618A5" w:rsidRDefault="009618A5" w:rsidP="009618A5">
      <w:pPr>
        <w:spacing w:line="360" w:lineRule="auto"/>
        <w:jc w:val="both"/>
        <w:rPr>
          <w:rFonts w:ascii="Times New Roman" w:eastAsia="Times New Roman" w:hAnsi="Times New Roman" w:cs="Times New Roman"/>
          <w:lang w:val="en-GB"/>
        </w:rPr>
      </w:pPr>
    </w:p>
    <w:p w14:paraId="34D5DC99" w14:textId="77777777" w:rsidR="009618A5" w:rsidRDefault="009618A5" w:rsidP="009618A5">
      <w:pPr>
        <w:spacing w:line="360" w:lineRule="auto"/>
        <w:jc w:val="both"/>
        <w:rPr>
          <w:rFonts w:ascii="Times New Roman" w:eastAsia="Times New Roman" w:hAnsi="Times New Roman" w:cs="Times New Roman"/>
          <w:lang w:val="en-GB"/>
        </w:rPr>
      </w:pPr>
    </w:p>
    <w:p w14:paraId="46501232" w14:textId="77777777" w:rsidR="009618A5" w:rsidRDefault="009618A5" w:rsidP="009618A5">
      <w:pPr>
        <w:spacing w:line="360" w:lineRule="auto"/>
        <w:jc w:val="both"/>
        <w:rPr>
          <w:rFonts w:ascii="Times New Roman" w:eastAsia="Times New Roman" w:hAnsi="Times New Roman" w:cs="Times New Roman"/>
          <w:lang w:val="en-GB"/>
        </w:rPr>
      </w:pPr>
    </w:p>
    <w:p w14:paraId="3752AA68" w14:textId="77777777" w:rsidR="009618A5" w:rsidRDefault="009618A5" w:rsidP="009618A5">
      <w:pPr>
        <w:spacing w:line="360" w:lineRule="auto"/>
        <w:jc w:val="both"/>
        <w:rPr>
          <w:rFonts w:ascii="Times New Roman" w:eastAsia="Times New Roman" w:hAnsi="Times New Roman" w:cs="Times New Roman"/>
          <w:lang w:val="en-GB"/>
        </w:rPr>
      </w:pPr>
    </w:p>
    <w:p w14:paraId="03166B4C" w14:textId="77777777" w:rsidR="009618A5" w:rsidRDefault="009618A5" w:rsidP="009618A5">
      <w:pPr>
        <w:spacing w:line="360" w:lineRule="auto"/>
        <w:jc w:val="both"/>
        <w:rPr>
          <w:rFonts w:ascii="Times New Roman" w:eastAsia="Times New Roman" w:hAnsi="Times New Roman" w:cs="Times New Roman"/>
          <w:lang w:val="en-GB"/>
        </w:rPr>
      </w:pPr>
    </w:p>
    <w:p w14:paraId="4A8F715C" w14:textId="690222F2" w:rsidR="156D4083" w:rsidRDefault="3159D3B6" w:rsidP="6F080041">
      <w:pPr>
        <w:spacing w:line="360" w:lineRule="auto"/>
        <w:jc w:val="both"/>
      </w:pPr>
      <w:r w:rsidRPr="6F080041">
        <w:rPr>
          <w:rFonts w:ascii="Times New Roman" w:hAnsi="Times New Roman" w:cs="Times New Roman"/>
          <w:b/>
          <w:bCs/>
          <w:lang w:val="en-GB"/>
        </w:rPr>
        <w:t xml:space="preserve">Highlights of </w:t>
      </w:r>
      <w:r w:rsidRPr="24C21DF4">
        <w:rPr>
          <w:rFonts w:ascii="Times New Roman" w:hAnsi="Times New Roman" w:cs="Times New Roman"/>
          <w:b/>
          <w:bCs/>
          <w:lang w:val="en-GB"/>
        </w:rPr>
        <w:t>our project</w:t>
      </w:r>
    </w:p>
    <w:p w14:paraId="619DEB27" w14:textId="08F0AA78" w:rsidR="3159D3B6" w:rsidRDefault="6358B9FA" w:rsidP="24C21DF4">
      <w:pPr>
        <w:spacing w:line="360" w:lineRule="auto"/>
        <w:jc w:val="both"/>
      </w:pPr>
      <w:r w:rsidRPr="7FDF278D">
        <w:rPr>
          <w:rFonts w:ascii="Times New Roman" w:eastAsia="Times New Roman" w:hAnsi="Times New Roman" w:cs="Times New Roman"/>
          <w:u w:val="single"/>
          <w:lang w:val="en-GB"/>
        </w:rPr>
        <w:t xml:space="preserve">General </w:t>
      </w:r>
      <w:r w:rsidR="3159D3B6" w:rsidRPr="7FDF278D">
        <w:rPr>
          <w:rFonts w:ascii="Times New Roman" w:eastAsia="Times New Roman" w:hAnsi="Times New Roman" w:cs="Times New Roman"/>
          <w:u w:val="single"/>
          <w:lang w:val="en-GB"/>
        </w:rPr>
        <w:t>Applicability</w:t>
      </w:r>
    </w:p>
    <w:p w14:paraId="3B746237" w14:textId="00177130" w:rsidR="45621E45" w:rsidRDefault="3159D3B6" w:rsidP="2004221E">
      <w:pPr>
        <w:pStyle w:val="ListParagraph"/>
        <w:numPr>
          <w:ilvl w:val="0"/>
          <w:numId w:val="7"/>
        </w:numPr>
        <w:spacing w:line="360" w:lineRule="auto"/>
        <w:jc w:val="both"/>
        <w:rPr>
          <w:rFonts w:ascii="Times New Roman" w:eastAsia="Times New Roman" w:hAnsi="Times New Roman" w:cs="Times New Roman"/>
          <w:lang w:val="en-GB"/>
        </w:rPr>
      </w:pPr>
      <w:r w:rsidRPr="65490FA8">
        <w:rPr>
          <w:rFonts w:ascii="Times New Roman" w:eastAsia="Times New Roman" w:hAnsi="Times New Roman" w:cs="Times New Roman"/>
          <w:lang w:val="en-GB"/>
        </w:rPr>
        <w:t>Combats misinformation:</w:t>
      </w:r>
      <w:r w:rsidRPr="7E28DEDC">
        <w:rPr>
          <w:rFonts w:ascii="Times New Roman" w:eastAsia="Times New Roman" w:hAnsi="Times New Roman" w:cs="Times New Roman"/>
          <w:lang w:val="en-GB"/>
        </w:rPr>
        <w:t xml:space="preserve"> </w:t>
      </w:r>
      <w:r w:rsidRPr="58808C16">
        <w:rPr>
          <w:rFonts w:ascii="Times New Roman" w:eastAsia="Times New Roman" w:hAnsi="Times New Roman" w:cs="Times New Roman"/>
          <w:lang w:val="en-GB"/>
        </w:rPr>
        <w:t>Quantifies risk</w:t>
      </w:r>
      <w:r w:rsidRPr="55E34C68">
        <w:rPr>
          <w:rFonts w:ascii="Times New Roman" w:eastAsia="Times New Roman" w:hAnsi="Times New Roman" w:cs="Times New Roman"/>
          <w:lang w:val="en-GB"/>
        </w:rPr>
        <w:t xml:space="preserve">, giving the </w:t>
      </w:r>
      <w:r w:rsidRPr="73295B8A">
        <w:rPr>
          <w:rFonts w:ascii="Times New Roman" w:eastAsia="Times New Roman" w:hAnsi="Times New Roman" w:cs="Times New Roman"/>
          <w:lang w:val="en-GB"/>
        </w:rPr>
        <w:t xml:space="preserve">clinician </w:t>
      </w:r>
      <w:r w:rsidRPr="648F2A8B">
        <w:rPr>
          <w:rFonts w:ascii="Times New Roman" w:eastAsia="Times New Roman" w:hAnsi="Times New Roman" w:cs="Times New Roman"/>
          <w:lang w:val="en-GB"/>
        </w:rPr>
        <w:t>confidence to prescribe the appropriate</w:t>
      </w:r>
      <w:r w:rsidRPr="3867F943">
        <w:rPr>
          <w:rFonts w:ascii="Times New Roman" w:eastAsia="Times New Roman" w:hAnsi="Times New Roman" w:cs="Times New Roman"/>
          <w:lang w:val="en-GB"/>
        </w:rPr>
        <w:t xml:space="preserve"> cephalosporin</w:t>
      </w:r>
      <w:r w:rsidRPr="3480767A">
        <w:rPr>
          <w:rFonts w:ascii="Times New Roman" w:eastAsia="Times New Roman" w:hAnsi="Times New Roman" w:cs="Times New Roman"/>
          <w:lang w:val="en-GB"/>
        </w:rPr>
        <w:t>.</w:t>
      </w:r>
    </w:p>
    <w:p w14:paraId="1E9F920A" w14:textId="159A3E7E" w:rsidR="3159D3B6" w:rsidRDefault="3159D3B6" w:rsidP="71C1808D">
      <w:pPr>
        <w:pStyle w:val="ListParagraph"/>
        <w:numPr>
          <w:ilvl w:val="0"/>
          <w:numId w:val="7"/>
        </w:numPr>
        <w:spacing w:line="360" w:lineRule="auto"/>
        <w:jc w:val="both"/>
        <w:rPr>
          <w:rFonts w:ascii="Times New Roman" w:eastAsia="Times New Roman" w:hAnsi="Times New Roman" w:cs="Times New Roman"/>
          <w:lang w:val="en-GB"/>
        </w:rPr>
      </w:pPr>
      <w:r w:rsidRPr="65490FA8">
        <w:rPr>
          <w:rFonts w:ascii="Times New Roman" w:eastAsia="Times New Roman" w:hAnsi="Times New Roman" w:cs="Times New Roman"/>
          <w:lang w:val="en-GB"/>
        </w:rPr>
        <w:t>Quality filter:</w:t>
      </w:r>
      <w:r w:rsidRPr="1B5230D4">
        <w:rPr>
          <w:rFonts w:ascii="Times New Roman" w:eastAsia="Times New Roman" w:hAnsi="Times New Roman" w:cs="Times New Roman"/>
          <w:lang w:val="en-GB"/>
        </w:rPr>
        <w:t xml:space="preserve"> Generates high-quality reports for the pharmacovigilance system.</w:t>
      </w:r>
    </w:p>
    <w:p w14:paraId="39778988" w14:textId="2ED519C5" w:rsidR="1B5230D4" w:rsidRDefault="3159D3B6" w:rsidP="71C1808D">
      <w:pPr>
        <w:pStyle w:val="ListParagraph"/>
        <w:numPr>
          <w:ilvl w:val="0"/>
          <w:numId w:val="7"/>
        </w:numPr>
        <w:spacing w:line="360" w:lineRule="auto"/>
        <w:jc w:val="both"/>
        <w:rPr>
          <w:rFonts w:ascii="Times New Roman" w:eastAsia="Times New Roman" w:hAnsi="Times New Roman" w:cs="Times New Roman"/>
          <w:lang w:val="en-GB"/>
        </w:rPr>
      </w:pPr>
      <w:r w:rsidRPr="65490FA8">
        <w:rPr>
          <w:rFonts w:ascii="Times New Roman" w:eastAsia="Times New Roman" w:hAnsi="Times New Roman" w:cs="Times New Roman"/>
          <w:lang w:val="en-GB"/>
        </w:rPr>
        <w:t>Antimicrobial Stewardship:</w:t>
      </w:r>
      <w:r w:rsidRPr="65C6F81A">
        <w:rPr>
          <w:rFonts w:ascii="Times New Roman" w:eastAsia="Times New Roman" w:hAnsi="Times New Roman" w:cs="Times New Roman"/>
          <w:lang w:val="en-GB"/>
        </w:rPr>
        <w:t xml:space="preserve"> </w:t>
      </w:r>
      <w:r w:rsidRPr="37E0A599">
        <w:rPr>
          <w:rFonts w:ascii="Times New Roman" w:eastAsia="Times New Roman" w:hAnsi="Times New Roman" w:cs="Times New Roman"/>
          <w:lang w:val="en-GB"/>
        </w:rPr>
        <w:t xml:space="preserve">Avoids </w:t>
      </w:r>
      <w:r w:rsidR="001D698F" w:rsidRPr="33873B3A">
        <w:rPr>
          <w:rFonts w:ascii="Times New Roman" w:eastAsia="Times New Roman" w:hAnsi="Times New Roman" w:cs="Times New Roman"/>
          <w:lang w:val="en-GB"/>
        </w:rPr>
        <w:t>inappropriate</w:t>
      </w:r>
      <w:r w:rsidRPr="33873B3A">
        <w:rPr>
          <w:rFonts w:ascii="Times New Roman" w:eastAsia="Times New Roman" w:hAnsi="Times New Roman" w:cs="Times New Roman"/>
          <w:lang w:val="en-GB"/>
        </w:rPr>
        <w:t xml:space="preserve"> </w:t>
      </w:r>
      <w:r w:rsidRPr="00C5DC6B">
        <w:rPr>
          <w:rFonts w:ascii="Times New Roman" w:eastAsia="Times New Roman" w:hAnsi="Times New Roman" w:cs="Times New Roman"/>
          <w:lang w:val="en-GB"/>
        </w:rPr>
        <w:t xml:space="preserve">therapeutic </w:t>
      </w:r>
      <w:r w:rsidRPr="78292C81">
        <w:rPr>
          <w:rFonts w:ascii="Times New Roman" w:eastAsia="Times New Roman" w:hAnsi="Times New Roman" w:cs="Times New Roman"/>
          <w:lang w:val="en-GB"/>
        </w:rPr>
        <w:t xml:space="preserve">substitution and </w:t>
      </w:r>
      <w:r w:rsidRPr="0CEE9CF0">
        <w:rPr>
          <w:rFonts w:ascii="Times New Roman" w:eastAsia="Times New Roman" w:hAnsi="Times New Roman" w:cs="Times New Roman"/>
          <w:lang w:val="en-GB"/>
        </w:rPr>
        <w:t>the use of last-</w:t>
      </w:r>
      <w:r w:rsidRPr="3D34315F">
        <w:rPr>
          <w:rFonts w:ascii="Times New Roman" w:eastAsia="Times New Roman" w:hAnsi="Times New Roman" w:cs="Times New Roman"/>
          <w:lang w:val="en-GB"/>
        </w:rPr>
        <w:t xml:space="preserve">resort </w:t>
      </w:r>
      <w:r w:rsidRPr="6FAC3FD6">
        <w:rPr>
          <w:rFonts w:ascii="Times New Roman" w:eastAsia="Times New Roman" w:hAnsi="Times New Roman" w:cs="Times New Roman"/>
          <w:lang w:val="en-GB"/>
        </w:rPr>
        <w:t>antibiotics.</w:t>
      </w:r>
    </w:p>
    <w:p w14:paraId="2456A476" w14:textId="23B3F9E5" w:rsidR="63702395" w:rsidRDefault="63702395" w:rsidP="6D6D82F4">
      <w:pPr>
        <w:spacing w:line="360" w:lineRule="auto"/>
        <w:jc w:val="both"/>
        <w:rPr>
          <w:rFonts w:ascii="Times New Roman" w:eastAsia="Times New Roman" w:hAnsi="Times New Roman" w:cs="Times New Roman"/>
          <w:u w:val="single"/>
          <w:lang w:val="en-GB"/>
        </w:rPr>
      </w:pPr>
      <w:r w:rsidRPr="1A152E58">
        <w:rPr>
          <w:rFonts w:ascii="Times New Roman" w:eastAsia="Times New Roman" w:hAnsi="Times New Roman" w:cs="Times New Roman"/>
          <w:u w:val="single"/>
          <w:lang w:val="en-GB"/>
        </w:rPr>
        <w:t>Applicability in LICs and MICs</w:t>
      </w:r>
    </w:p>
    <w:p w14:paraId="45198510" w14:textId="404A67BE" w:rsidR="63702395" w:rsidRDefault="63702395" w:rsidP="1A152E58">
      <w:pPr>
        <w:pStyle w:val="ListParagraph"/>
        <w:numPr>
          <w:ilvl w:val="0"/>
          <w:numId w:val="5"/>
        </w:numPr>
        <w:spacing w:line="360" w:lineRule="auto"/>
        <w:jc w:val="both"/>
        <w:rPr>
          <w:rFonts w:ascii="Times New Roman" w:eastAsia="Times New Roman" w:hAnsi="Times New Roman" w:cs="Times New Roman"/>
          <w:lang w:val="en-GB"/>
        </w:rPr>
      </w:pPr>
      <w:r w:rsidRPr="1A152E58">
        <w:rPr>
          <w:rFonts w:ascii="Times New Roman" w:eastAsia="Times New Roman" w:hAnsi="Times New Roman" w:cs="Times New Roman"/>
          <w:lang w:val="en-GB"/>
        </w:rPr>
        <w:t>Highly affordable and</w:t>
      </w:r>
      <w:r w:rsidR="001D698F">
        <w:rPr>
          <w:rFonts w:ascii="Times New Roman" w:eastAsia="Times New Roman" w:hAnsi="Times New Roman" w:cs="Times New Roman"/>
          <w:lang w:val="en-GB"/>
        </w:rPr>
        <w:t xml:space="preserve"> </w:t>
      </w:r>
      <w:r w:rsidRPr="1A152E58">
        <w:rPr>
          <w:rFonts w:ascii="Times New Roman" w:eastAsia="Times New Roman" w:hAnsi="Times New Roman" w:cs="Times New Roman"/>
          <w:lang w:val="en-GB"/>
        </w:rPr>
        <w:t>scalable in LICs and MICs</w:t>
      </w:r>
      <w:r w:rsidRPr="40D50AE8">
        <w:rPr>
          <w:rFonts w:ascii="Times New Roman" w:eastAsia="Times New Roman" w:hAnsi="Times New Roman" w:cs="Times New Roman"/>
          <w:lang w:val="en-GB"/>
        </w:rPr>
        <w:t>.</w:t>
      </w:r>
    </w:p>
    <w:p w14:paraId="01D9A463" w14:textId="66AFBA72" w:rsidR="63702395" w:rsidRDefault="63702395" w:rsidP="1A152E58">
      <w:pPr>
        <w:pStyle w:val="ListParagraph"/>
        <w:numPr>
          <w:ilvl w:val="0"/>
          <w:numId w:val="5"/>
        </w:numPr>
        <w:spacing w:line="360" w:lineRule="auto"/>
        <w:jc w:val="both"/>
        <w:rPr>
          <w:rFonts w:ascii="Times New Roman" w:eastAsia="Times New Roman" w:hAnsi="Times New Roman" w:cs="Times New Roman"/>
          <w:lang w:val="en-GB"/>
        </w:rPr>
      </w:pPr>
      <w:r w:rsidRPr="1A152E58">
        <w:rPr>
          <w:rFonts w:ascii="Times New Roman" w:eastAsia="Times New Roman" w:hAnsi="Times New Roman" w:cs="Times New Roman"/>
          <w:lang w:val="en-GB"/>
        </w:rPr>
        <w:t xml:space="preserve">Based on demographic data already reported in </w:t>
      </w:r>
      <w:r w:rsidRPr="10211C9E">
        <w:rPr>
          <w:rFonts w:ascii="Times New Roman" w:eastAsia="Times New Roman" w:hAnsi="Times New Roman" w:cs="Times New Roman"/>
          <w:lang w:val="en-GB"/>
        </w:rPr>
        <w:t>Pharmacovigilance databases</w:t>
      </w:r>
      <w:r w:rsidRPr="4816A9C9">
        <w:rPr>
          <w:rFonts w:ascii="Times New Roman" w:eastAsia="Times New Roman" w:hAnsi="Times New Roman" w:cs="Times New Roman"/>
          <w:lang w:val="en-GB"/>
        </w:rPr>
        <w:t>.</w:t>
      </w:r>
    </w:p>
    <w:p w14:paraId="0EE5A48F" w14:textId="75ABC8E1" w:rsidR="152E9143" w:rsidRDefault="152E9143" w:rsidP="018B8441">
      <w:pPr>
        <w:spacing w:line="360" w:lineRule="auto"/>
        <w:jc w:val="both"/>
        <w:rPr>
          <w:rFonts w:ascii="Times New Roman" w:eastAsia="Times New Roman" w:hAnsi="Times New Roman" w:cs="Times New Roman"/>
          <w:u w:val="single"/>
          <w:lang w:val="en-GB"/>
        </w:rPr>
      </w:pPr>
      <w:r w:rsidRPr="6D6D82F4">
        <w:rPr>
          <w:rFonts w:ascii="Times New Roman" w:eastAsia="Times New Roman" w:hAnsi="Times New Roman" w:cs="Times New Roman"/>
          <w:u w:val="single"/>
          <w:lang w:val="en-GB"/>
        </w:rPr>
        <w:t>Affordability</w:t>
      </w:r>
      <w:r w:rsidRPr="19A917BB">
        <w:rPr>
          <w:rFonts w:ascii="Times New Roman" w:eastAsia="Times New Roman" w:hAnsi="Times New Roman" w:cs="Times New Roman"/>
          <w:u w:val="single"/>
          <w:lang w:val="en-GB"/>
        </w:rPr>
        <w:t xml:space="preserve"> and Relation Benefit/Cost</w:t>
      </w:r>
    </w:p>
    <w:p w14:paraId="2BFC7614" w14:textId="7F7692A3" w:rsidR="152E9143" w:rsidRDefault="152E9143" w:rsidP="65490FA8">
      <w:pPr>
        <w:pStyle w:val="ListParagraph"/>
        <w:numPr>
          <w:ilvl w:val="0"/>
          <w:numId w:val="9"/>
        </w:numPr>
        <w:spacing w:line="360" w:lineRule="auto"/>
        <w:jc w:val="both"/>
        <w:rPr>
          <w:rFonts w:ascii="Times New Roman" w:eastAsia="Times New Roman" w:hAnsi="Times New Roman" w:cs="Times New Roman"/>
          <w:lang w:val="en-GB"/>
        </w:rPr>
      </w:pPr>
      <w:r w:rsidRPr="012B3C21">
        <w:rPr>
          <w:rFonts w:ascii="Times New Roman" w:eastAsia="Times New Roman" w:hAnsi="Times New Roman" w:cs="Times New Roman"/>
          <w:lang w:val="en-GB"/>
        </w:rPr>
        <w:t>Low implementation</w:t>
      </w:r>
      <w:r w:rsidRPr="2CFEBC90">
        <w:rPr>
          <w:rFonts w:ascii="Times New Roman" w:eastAsia="Times New Roman" w:hAnsi="Times New Roman" w:cs="Times New Roman"/>
          <w:lang w:val="en-GB"/>
        </w:rPr>
        <w:t xml:space="preserve"> cost (</w:t>
      </w:r>
      <w:r w:rsidRPr="32BC7509">
        <w:rPr>
          <w:rFonts w:ascii="Times New Roman" w:eastAsia="Times New Roman" w:hAnsi="Times New Roman" w:cs="Times New Roman"/>
          <w:lang w:val="en-GB"/>
        </w:rPr>
        <w:t>primarily front-</w:t>
      </w:r>
      <w:r w:rsidRPr="3592793C">
        <w:rPr>
          <w:rFonts w:ascii="Times New Roman" w:eastAsia="Times New Roman" w:hAnsi="Times New Roman" w:cs="Times New Roman"/>
          <w:lang w:val="en-GB"/>
        </w:rPr>
        <w:t>loaded costs</w:t>
      </w:r>
      <w:r w:rsidRPr="4816A9C9">
        <w:rPr>
          <w:rFonts w:ascii="Times New Roman" w:eastAsia="Times New Roman" w:hAnsi="Times New Roman" w:cs="Times New Roman"/>
          <w:lang w:val="en-GB"/>
        </w:rPr>
        <w:t>)</w:t>
      </w:r>
      <w:r w:rsidR="36615892" w:rsidRPr="4816A9C9">
        <w:rPr>
          <w:rFonts w:ascii="Times New Roman" w:eastAsia="Times New Roman" w:hAnsi="Times New Roman" w:cs="Times New Roman"/>
          <w:lang w:val="en-GB"/>
        </w:rPr>
        <w:t>.</w:t>
      </w:r>
    </w:p>
    <w:p w14:paraId="5FA7DFE5" w14:textId="4B0DC808" w:rsidR="152E9143" w:rsidRDefault="152E9143" w:rsidP="65490FA8">
      <w:pPr>
        <w:pStyle w:val="ListParagraph"/>
        <w:numPr>
          <w:ilvl w:val="0"/>
          <w:numId w:val="9"/>
        </w:numPr>
        <w:spacing w:line="360" w:lineRule="auto"/>
        <w:jc w:val="both"/>
        <w:rPr>
          <w:rFonts w:ascii="Times New Roman" w:eastAsia="Times New Roman" w:hAnsi="Times New Roman" w:cs="Times New Roman"/>
          <w:lang w:val="en-GB"/>
        </w:rPr>
      </w:pPr>
      <w:r w:rsidRPr="6B0DD3DC">
        <w:rPr>
          <w:rFonts w:ascii="Times New Roman" w:eastAsia="Times New Roman" w:hAnsi="Times New Roman" w:cs="Times New Roman"/>
          <w:lang w:val="en-GB"/>
        </w:rPr>
        <w:t>Prevention of costly adverse reactions</w:t>
      </w:r>
      <w:r w:rsidR="36615892" w:rsidRPr="4816A9C9">
        <w:rPr>
          <w:rFonts w:ascii="Times New Roman" w:eastAsia="Times New Roman" w:hAnsi="Times New Roman" w:cs="Times New Roman"/>
          <w:lang w:val="en-GB"/>
        </w:rPr>
        <w:t>.</w:t>
      </w:r>
    </w:p>
    <w:p w14:paraId="58039DCC" w14:textId="2DE12971" w:rsidR="152E9143" w:rsidRDefault="152E9143" w:rsidP="65490FA8">
      <w:pPr>
        <w:pStyle w:val="ListParagraph"/>
        <w:numPr>
          <w:ilvl w:val="0"/>
          <w:numId w:val="9"/>
        </w:numPr>
        <w:spacing w:line="360" w:lineRule="auto"/>
        <w:jc w:val="both"/>
        <w:rPr>
          <w:rFonts w:ascii="Times New Roman" w:eastAsia="Times New Roman" w:hAnsi="Times New Roman" w:cs="Times New Roman"/>
          <w:lang w:val="en-GB"/>
        </w:rPr>
      </w:pPr>
      <w:r w:rsidRPr="108CD726">
        <w:rPr>
          <w:rFonts w:ascii="Times New Roman" w:eastAsia="Times New Roman" w:hAnsi="Times New Roman" w:cs="Times New Roman"/>
          <w:lang w:val="en-GB"/>
        </w:rPr>
        <w:t xml:space="preserve">Mitigation of </w:t>
      </w:r>
      <w:r w:rsidRPr="101266E0">
        <w:rPr>
          <w:rFonts w:ascii="Times New Roman" w:eastAsia="Times New Roman" w:hAnsi="Times New Roman" w:cs="Times New Roman"/>
          <w:lang w:val="en-GB"/>
        </w:rPr>
        <w:t xml:space="preserve">systemic </w:t>
      </w:r>
      <w:r w:rsidRPr="1E4A95A4">
        <w:rPr>
          <w:rFonts w:ascii="Times New Roman" w:eastAsia="Times New Roman" w:hAnsi="Times New Roman" w:cs="Times New Roman"/>
          <w:lang w:val="en-GB"/>
        </w:rPr>
        <w:t>antimicrobial resistance</w:t>
      </w:r>
      <w:r w:rsidR="25C19390" w:rsidRPr="4816A9C9">
        <w:rPr>
          <w:rFonts w:ascii="Times New Roman" w:eastAsia="Times New Roman" w:hAnsi="Times New Roman" w:cs="Times New Roman"/>
          <w:lang w:val="en-GB"/>
        </w:rPr>
        <w:t>.</w:t>
      </w:r>
    </w:p>
    <w:p w14:paraId="4663958E" w14:textId="07F2CE40" w:rsidR="152E9143" w:rsidRDefault="152E9143" w:rsidP="1E4A95A4">
      <w:pPr>
        <w:spacing w:line="360" w:lineRule="auto"/>
        <w:jc w:val="both"/>
        <w:rPr>
          <w:rFonts w:ascii="Times New Roman" w:eastAsia="Times New Roman" w:hAnsi="Times New Roman" w:cs="Times New Roman"/>
          <w:u w:val="single"/>
          <w:lang w:val="en-GB"/>
        </w:rPr>
      </w:pPr>
      <w:r w:rsidRPr="65490FA8">
        <w:rPr>
          <w:rFonts w:ascii="Times New Roman" w:eastAsia="Times New Roman" w:hAnsi="Times New Roman" w:cs="Times New Roman"/>
          <w:u w:val="single"/>
          <w:lang w:val="en-GB"/>
        </w:rPr>
        <w:t>Innovation</w:t>
      </w:r>
    </w:p>
    <w:p w14:paraId="318D6761" w14:textId="2C44F7CF" w:rsidR="152E9143" w:rsidRDefault="152E9143" w:rsidP="65490FA8">
      <w:pPr>
        <w:pStyle w:val="ListParagraph"/>
        <w:numPr>
          <w:ilvl w:val="0"/>
          <w:numId w:val="8"/>
        </w:numPr>
        <w:spacing w:line="360" w:lineRule="auto"/>
        <w:jc w:val="both"/>
        <w:rPr>
          <w:rFonts w:ascii="Times New Roman" w:eastAsia="Times New Roman" w:hAnsi="Times New Roman" w:cs="Times New Roman"/>
          <w:lang w:val="en-GB"/>
        </w:rPr>
      </w:pPr>
      <w:r w:rsidRPr="0BDE579D">
        <w:rPr>
          <w:rFonts w:ascii="Times New Roman" w:eastAsia="Times New Roman" w:hAnsi="Times New Roman" w:cs="Times New Roman"/>
          <w:lang w:val="en-GB"/>
        </w:rPr>
        <w:t>Pragmatic design and actionable output</w:t>
      </w:r>
      <w:r w:rsidR="25C19390" w:rsidRPr="4816A9C9">
        <w:rPr>
          <w:rFonts w:ascii="Times New Roman" w:eastAsia="Times New Roman" w:hAnsi="Times New Roman" w:cs="Times New Roman"/>
          <w:lang w:val="en-GB"/>
        </w:rPr>
        <w:t>.</w:t>
      </w:r>
    </w:p>
    <w:p w14:paraId="2ED32E4C" w14:textId="1827E065" w:rsidR="6C631180" w:rsidRDefault="6C631180" w:rsidP="65490FA8">
      <w:pPr>
        <w:pStyle w:val="ListParagraph"/>
        <w:numPr>
          <w:ilvl w:val="0"/>
          <w:numId w:val="8"/>
        </w:numPr>
        <w:spacing w:line="360" w:lineRule="auto"/>
        <w:jc w:val="both"/>
        <w:rPr>
          <w:rFonts w:ascii="Times New Roman" w:eastAsia="Times New Roman" w:hAnsi="Times New Roman" w:cs="Times New Roman"/>
          <w:lang w:val="en-GB"/>
        </w:rPr>
      </w:pPr>
      <w:r w:rsidRPr="292030AE">
        <w:rPr>
          <w:rFonts w:ascii="Times New Roman" w:eastAsia="Times New Roman" w:hAnsi="Times New Roman" w:cs="Times New Roman"/>
          <w:lang w:val="en-GB"/>
        </w:rPr>
        <w:t xml:space="preserve">Can take advantage </w:t>
      </w:r>
      <w:r w:rsidRPr="1E16538C">
        <w:rPr>
          <w:rFonts w:ascii="Times New Roman" w:eastAsia="Times New Roman" w:hAnsi="Times New Roman" w:cs="Times New Roman"/>
          <w:lang w:val="en-GB"/>
        </w:rPr>
        <w:t xml:space="preserve">of already existing </w:t>
      </w:r>
      <w:r w:rsidRPr="2194ABB4">
        <w:rPr>
          <w:rFonts w:ascii="Times New Roman" w:eastAsia="Times New Roman" w:hAnsi="Times New Roman" w:cs="Times New Roman"/>
          <w:lang w:val="en-GB"/>
        </w:rPr>
        <w:t>data</w:t>
      </w:r>
      <w:r w:rsidR="0AB245F3" w:rsidRPr="4816A9C9">
        <w:rPr>
          <w:rFonts w:ascii="Times New Roman" w:eastAsia="Times New Roman" w:hAnsi="Times New Roman" w:cs="Times New Roman"/>
          <w:lang w:val="en-GB"/>
        </w:rPr>
        <w:t>.</w:t>
      </w:r>
    </w:p>
    <w:p w14:paraId="56F461D4" w14:textId="75C2D78A" w:rsidR="152E9143" w:rsidRDefault="152E9143" w:rsidP="65490FA8">
      <w:pPr>
        <w:pStyle w:val="ListParagraph"/>
        <w:numPr>
          <w:ilvl w:val="0"/>
          <w:numId w:val="8"/>
        </w:numPr>
        <w:spacing w:line="360" w:lineRule="auto"/>
        <w:jc w:val="both"/>
        <w:rPr>
          <w:rFonts w:ascii="Times New Roman" w:eastAsia="Times New Roman" w:hAnsi="Times New Roman" w:cs="Times New Roman"/>
          <w:lang w:val="en-GB"/>
        </w:rPr>
      </w:pPr>
      <w:r w:rsidRPr="2194ABB4">
        <w:rPr>
          <w:rFonts w:ascii="Times New Roman" w:eastAsia="Times New Roman" w:hAnsi="Times New Roman" w:cs="Times New Roman"/>
          <w:lang w:val="en-GB"/>
        </w:rPr>
        <w:t>Provides</w:t>
      </w:r>
      <w:r w:rsidRPr="6BAFB3AB">
        <w:rPr>
          <w:rFonts w:ascii="Times New Roman" w:eastAsia="Times New Roman" w:hAnsi="Times New Roman" w:cs="Times New Roman"/>
          <w:lang w:val="en-GB"/>
        </w:rPr>
        <w:t xml:space="preserve"> </w:t>
      </w:r>
      <w:r w:rsidRPr="122EFD0A">
        <w:rPr>
          <w:rFonts w:ascii="Times New Roman" w:eastAsia="Times New Roman" w:hAnsi="Times New Roman" w:cs="Times New Roman"/>
          <w:lang w:val="en-GB"/>
        </w:rPr>
        <w:t xml:space="preserve">actionable, </w:t>
      </w:r>
      <w:r w:rsidRPr="2194ABB4">
        <w:rPr>
          <w:rFonts w:ascii="Times New Roman" w:eastAsia="Times New Roman" w:hAnsi="Times New Roman" w:cs="Times New Roman"/>
          <w:lang w:val="en-GB"/>
        </w:rPr>
        <w:t>cl</w:t>
      </w:r>
      <w:r w:rsidR="18359C9E" w:rsidRPr="2194ABB4">
        <w:rPr>
          <w:rFonts w:ascii="Times New Roman" w:eastAsia="Times New Roman" w:hAnsi="Times New Roman" w:cs="Times New Roman"/>
          <w:lang w:val="en-GB"/>
        </w:rPr>
        <w:t xml:space="preserve">inically </w:t>
      </w:r>
      <w:r w:rsidR="18359C9E" w:rsidRPr="1A9345A6">
        <w:rPr>
          <w:rFonts w:ascii="Times New Roman" w:eastAsia="Times New Roman" w:hAnsi="Times New Roman" w:cs="Times New Roman"/>
          <w:lang w:val="en-GB"/>
        </w:rPr>
        <w:t xml:space="preserve">specific </w:t>
      </w:r>
      <w:r w:rsidR="18359C9E" w:rsidRPr="08D9DDC7">
        <w:rPr>
          <w:rFonts w:ascii="Times New Roman" w:eastAsia="Times New Roman" w:hAnsi="Times New Roman" w:cs="Times New Roman"/>
          <w:lang w:val="en-GB"/>
        </w:rPr>
        <w:t>risk</w:t>
      </w:r>
      <w:r w:rsidR="18359C9E" w:rsidRPr="66C42A1C">
        <w:rPr>
          <w:rFonts w:ascii="Times New Roman" w:eastAsia="Times New Roman" w:hAnsi="Times New Roman" w:cs="Times New Roman"/>
          <w:lang w:val="en-GB"/>
        </w:rPr>
        <w:t xml:space="preserve"> </w:t>
      </w:r>
      <w:r w:rsidR="18359C9E" w:rsidRPr="2C0B6D03">
        <w:rPr>
          <w:rFonts w:ascii="Times New Roman" w:eastAsia="Times New Roman" w:hAnsi="Times New Roman" w:cs="Times New Roman"/>
          <w:lang w:val="en-GB"/>
        </w:rPr>
        <w:t xml:space="preserve">predictions </w:t>
      </w:r>
      <w:r w:rsidR="18359C9E" w:rsidRPr="1CFC4014">
        <w:rPr>
          <w:rFonts w:ascii="Times New Roman" w:eastAsia="Times New Roman" w:hAnsi="Times New Roman" w:cs="Times New Roman"/>
          <w:lang w:val="en-GB"/>
        </w:rPr>
        <w:t xml:space="preserve">stratified by </w:t>
      </w:r>
      <w:r w:rsidR="18359C9E" w:rsidRPr="4009E40A">
        <w:rPr>
          <w:rFonts w:ascii="Times New Roman" w:eastAsia="Times New Roman" w:hAnsi="Times New Roman" w:cs="Times New Roman"/>
          <w:lang w:val="en-GB"/>
        </w:rPr>
        <w:t xml:space="preserve">MedDRA </w:t>
      </w:r>
      <w:r w:rsidR="18359C9E" w:rsidRPr="5A9EACB8">
        <w:rPr>
          <w:rFonts w:ascii="Times New Roman" w:eastAsia="Times New Roman" w:hAnsi="Times New Roman" w:cs="Times New Roman"/>
          <w:lang w:val="en-GB"/>
        </w:rPr>
        <w:t>SOC</w:t>
      </w:r>
      <w:r w:rsidR="4011E8A6" w:rsidRPr="4816A9C9">
        <w:rPr>
          <w:rFonts w:ascii="Times New Roman" w:eastAsia="Times New Roman" w:hAnsi="Times New Roman" w:cs="Times New Roman"/>
          <w:lang w:val="en-GB"/>
        </w:rPr>
        <w:t>.</w:t>
      </w:r>
    </w:p>
    <w:p w14:paraId="2BF300A3" w14:textId="6EE47EDE" w:rsidR="2FA811F5" w:rsidRDefault="2FA811F5" w:rsidP="2FA811F5">
      <w:pPr>
        <w:spacing w:line="360" w:lineRule="auto"/>
        <w:jc w:val="both"/>
        <w:rPr>
          <w:rFonts w:ascii="Times New Roman" w:eastAsia="Times New Roman" w:hAnsi="Times New Roman" w:cs="Times New Roman"/>
          <w:lang w:val="en-GB"/>
        </w:rPr>
      </w:pPr>
    </w:p>
    <w:p w14:paraId="7E6CA625" w14:textId="36952B31" w:rsidR="45621E45" w:rsidRDefault="45621E45" w:rsidP="45621E45">
      <w:pPr>
        <w:spacing w:line="360" w:lineRule="auto"/>
        <w:jc w:val="both"/>
        <w:rPr>
          <w:rFonts w:ascii="Times New Roman" w:eastAsia="Times New Roman" w:hAnsi="Times New Roman" w:cs="Times New Roman"/>
          <w:lang w:val="en-GB"/>
        </w:rPr>
      </w:pPr>
    </w:p>
    <w:p w14:paraId="7FE8B679" w14:textId="6FED17B2" w:rsidR="45621E45" w:rsidRDefault="45621E45" w:rsidP="45621E45">
      <w:pPr>
        <w:spacing w:line="360" w:lineRule="auto"/>
        <w:jc w:val="both"/>
        <w:rPr>
          <w:rFonts w:ascii="Times New Roman" w:eastAsia="Times New Roman" w:hAnsi="Times New Roman" w:cs="Times New Roman"/>
          <w:lang w:val="en-GB"/>
        </w:rPr>
      </w:pPr>
    </w:p>
    <w:p w14:paraId="66B26156" w14:textId="644D0A0A" w:rsidR="00B4070A" w:rsidRDefault="00B4070A">
      <w:pPr>
        <w:rPr>
          <w:rFonts w:ascii="Times New Roman" w:hAnsi="Times New Roman" w:cs="Times New Roman"/>
          <w:lang w:val="en-GB"/>
        </w:rPr>
      </w:pPr>
      <w:r>
        <w:rPr>
          <w:rFonts w:ascii="Times New Roman" w:hAnsi="Times New Roman" w:cs="Times New Roman"/>
          <w:lang w:val="en-GB"/>
        </w:rPr>
        <w:br w:type="page"/>
      </w:r>
    </w:p>
    <w:p w14:paraId="7A870DC0" w14:textId="6A7D1FF6" w:rsidR="00B4070A" w:rsidRDefault="00B4070A" w:rsidP="00691E31">
      <w:pPr>
        <w:spacing w:line="360" w:lineRule="auto"/>
        <w:jc w:val="both"/>
        <w:rPr>
          <w:rFonts w:ascii="Times New Roman" w:hAnsi="Times New Roman" w:cs="Times New Roman"/>
          <w:b/>
          <w:bCs/>
          <w:lang w:val="en-GB"/>
        </w:rPr>
      </w:pPr>
      <w:r>
        <w:rPr>
          <w:rFonts w:ascii="Times New Roman" w:hAnsi="Times New Roman" w:cs="Times New Roman"/>
          <w:b/>
          <w:bCs/>
          <w:lang w:val="en-GB"/>
        </w:rPr>
        <w:lastRenderedPageBreak/>
        <w:t>References</w:t>
      </w:r>
    </w:p>
    <w:p w14:paraId="3424C380" w14:textId="77777777" w:rsidR="00017A06" w:rsidRPr="00017A06" w:rsidRDefault="00B4070A">
      <w:pPr>
        <w:widowControl w:val="0"/>
        <w:autoSpaceDE w:val="0"/>
        <w:autoSpaceDN w:val="0"/>
        <w:adjustRightInd w:val="0"/>
        <w:rPr>
          <w:rFonts w:ascii="Times New Roman" w:hAnsi="Times New Roman" w:cs="Times New Roman"/>
          <w:kern w:val="0"/>
          <w:sz w:val="22"/>
        </w:rPr>
      </w:pPr>
      <w:r w:rsidRPr="00A76498">
        <w:rPr>
          <w:rFonts w:ascii="Times New Roman" w:hAnsi="Times New Roman" w:cs="Times New Roman"/>
          <w:sz w:val="22"/>
          <w:szCs w:val="22"/>
        </w:rPr>
        <w:fldChar w:fldCharType="begin"/>
      </w:r>
      <w:r w:rsidR="000C6892">
        <w:rPr>
          <w:rFonts w:ascii="Times New Roman" w:hAnsi="Times New Roman" w:cs="Times New Roman"/>
          <w:sz w:val="22"/>
          <w:szCs w:val="22"/>
        </w:rPr>
        <w:instrText xml:space="preserve"> ADDIN ZOTERO_BIBL {"uncited":[],"omitted":[],"custom":[]} CSL_BIBLIOGRAPHY </w:instrText>
      </w:r>
      <w:r w:rsidRPr="00A76498">
        <w:rPr>
          <w:rFonts w:ascii="Times New Roman" w:hAnsi="Times New Roman" w:cs="Times New Roman"/>
          <w:sz w:val="22"/>
          <w:szCs w:val="22"/>
        </w:rPr>
        <w:fldChar w:fldCharType="separate"/>
      </w:r>
      <w:r w:rsidR="00017A06" w:rsidRPr="00017A06">
        <w:rPr>
          <w:rFonts w:ascii="Times New Roman" w:hAnsi="Times New Roman" w:cs="Times New Roman"/>
          <w:kern w:val="0"/>
          <w:sz w:val="22"/>
        </w:rPr>
        <w:t>1.</w:t>
      </w:r>
      <w:r w:rsidR="00017A06" w:rsidRPr="00017A06">
        <w:rPr>
          <w:rFonts w:ascii="Times New Roman" w:hAnsi="Times New Roman" w:cs="Times New Roman"/>
          <w:kern w:val="0"/>
          <w:sz w:val="22"/>
        </w:rPr>
        <w:tab/>
        <w:t>World Health Organization. Global AMU data [Internet]. 2023 [cited 2025 Nov 9]. Available from: https://worldhealthorg.shinyapps.io/glass-dashboard/_w_80d1a76db0ca42a1aa9d0d8068351ffc/#!/amu</w:t>
      </w:r>
    </w:p>
    <w:p w14:paraId="016CC531" w14:textId="77777777" w:rsidR="00017A06" w:rsidRPr="00017A06" w:rsidRDefault="00017A06">
      <w:pPr>
        <w:widowControl w:val="0"/>
        <w:autoSpaceDE w:val="0"/>
        <w:autoSpaceDN w:val="0"/>
        <w:adjustRightInd w:val="0"/>
        <w:rPr>
          <w:rFonts w:ascii="Times New Roman" w:hAnsi="Times New Roman" w:cs="Times New Roman"/>
          <w:kern w:val="0"/>
          <w:sz w:val="22"/>
        </w:rPr>
      </w:pPr>
      <w:r w:rsidRPr="00017A06">
        <w:rPr>
          <w:rFonts w:ascii="Times New Roman" w:hAnsi="Times New Roman" w:cs="Times New Roman"/>
          <w:kern w:val="0"/>
          <w:sz w:val="22"/>
        </w:rPr>
        <w:t>2.</w:t>
      </w:r>
      <w:r w:rsidRPr="00017A06">
        <w:rPr>
          <w:rFonts w:ascii="Times New Roman" w:hAnsi="Times New Roman" w:cs="Times New Roman"/>
          <w:kern w:val="0"/>
          <w:sz w:val="22"/>
        </w:rPr>
        <w:tab/>
        <w:t xml:space="preserve">Klein EY, Impalli I, Poleon S, Denoel P, Cipriano M, Van Boeckel TP, et al. Global trends in antibiotic consumption during 2016–2023 and future projections through 2030. Proceedings of the National Academy of Sciences. 2024 Dec 3;121(49):e2411919121. </w:t>
      </w:r>
    </w:p>
    <w:p w14:paraId="44D5AB69" w14:textId="77777777" w:rsidR="00017A06" w:rsidRPr="00017A06" w:rsidRDefault="00017A06">
      <w:pPr>
        <w:widowControl w:val="0"/>
        <w:autoSpaceDE w:val="0"/>
        <w:autoSpaceDN w:val="0"/>
        <w:adjustRightInd w:val="0"/>
        <w:rPr>
          <w:rFonts w:ascii="Times New Roman" w:hAnsi="Times New Roman" w:cs="Times New Roman"/>
          <w:kern w:val="0"/>
          <w:sz w:val="22"/>
        </w:rPr>
      </w:pPr>
      <w:r w:rsidRPr="00017A06">
        <w:rPr>
          <w:rFonts w:ascii="Times New Roman" w:hAnsi="Times New Roman" w:cs="Times New Roman"/>
          <w:kern w:val="0"/>
          <w:sz w:val="22"/>
        </w:rPr>
        <w:t>3.</w:t>
      </w:r>
      <w:r w:rsidRPr="00017A06">
        <w:rPr>
          <w:rFonts w:ascii="Times New Roman" w:hAnsi="Times New Roman" w:cs="Times New Roman"/>
          <w:kern w:val="0"/>
          <w:sz w:val="22"/>
        </w:rPr>
        <w:tab/>
        <w:t>World Health Organization. WHO Model List of Essential Medicines 24th list [Internet]. [cited 2025 Nov 10]. Available from: https://www.who.int/publications/i/item/B09474</w:t>
      </w:r>
    </w:p>
    <w:p w14:paraId="541DC757" w14:textId="77777777" w:rsidR="00017A06" w:rsidRPr="00017A06" w:rsidRDefault="00017A06">
      <w:pPr>
        <w:widowControl w:val="0"/>
        <w:autoSpaceDE w:val="0"/>
        <w:autoSpaceDN w:val="0"/>
        <w:adjustRightInd w:val="0"/>
        <w:rPr>
          <w:rFonts w:ascii="Times New Roman" w:hAnsi="Times New Roman" w:cs="Times New Roman"/>
          <w:kern w:val="0"/>
          <w:sz w:val="22"/>
        </w:rPr>
      </w:pPr>
      <w:r w:rsidRPr="00017A06">
        <w:rPr>
          <w:rFonts w:ascii="Times New Roman" w:hAnsi="Times New Roman" w:cs="Times New Roman"/>
          <w:kern w:val="0"/>
          <w:sz w:val="22"/>
        </w:rPr>
        <w:t>4.</w:t>
      </w:r>
      <w:r w:rsidRPr="00017A06">
        <w:rPr>
          <w:rFonts w:ascii="Times New Roman" w:hAnsi="Times New Roman" w:cs="Times New Roman"/>
          <w:kern w:val="0"/>
          <w:sz w:val="22"/>
        </w:rPr>
        <w:tab/>
        <w:t xml:space="preserve">Zou D, Zhang R, Yu L, Hu T, Wu B. Seizures associated with antibiotics: a real-world disproportionality analysis of FAERS database. Expert Opinion on Drug Safety. 2023 Nov 2;22(11):1143–8. </w:t>
      </w:r>
    </w:p>
    <w:p w14:paraId="15754500" w14:textId="77777777" w:rsidR="00017A06" w:rsidRPr="00017A06" w:rsidRDefault="00017A06">
      <w:pPr>
        <w:widowControl w:val="0"/>
        <w:autoSpaceDE w:val="0"/>
        <w:autoSpaceDN w:val="0"/>
        <w:adjustRightInd w:val="0"/>
        <w:rPr>
          <w:rFonts w:ascii="Times New Roman" w:hAnsi="Times New Roman" w:cs="Times New Roman"/>
          <w:kern w:val="0"/>
          <w:sz w:val="22"/>
        </w:rPr>
      </w:pPr>
      <w:r w:rsidRPr="00017A06">
        <w:rPr>
          <w:rFonts w:ascii="Times New Roman" w:hAnsi="Times New Roman" w:cs="Times New Roman"/>
          <w:kern w:val="0"/>
          <w:sz w:val="22"/>
        </w:rPr>
        <w:t>5.</w:t>
      </w:r>
      <w:r w:rsidRPr="00017A06">
        <w:rPr>
          <w:rFonts w:ascii="Times New Roman" w:hAnsi="Times New Roman" w:cs="Times New Roman"/>
          <w:kern w:val="0"/>
          <w:sz w:val="22"/>
        </w:rPr>
        <w:tab/>
        <w:t xml:space="preserve">Sutter R, Rüegg S, Tschudin-Sutter S. Seizures as adverse events of antibiotic drugs. Neurology. 2015 Oct 13;85(15):1332–41. </w:t>
      </w:r>
    </w:p>
    <w:p w14:paraId="4EE4D629" w14:textId="77777777" w:rsidR="00017A06" w:rsidRPr="00017A06" w:rsidRDefault="00017A06">
      <w:pPr>
        <w:widowControl w:val="0"/>
        <w:autoSpaceDE w:val="0"/>
        <w:autoSpaceDN w:val="0"/>
        <w:adjustRightInd w:val="0"/>
        <w:rPr>
          <w:rFonts w:ascii="Times New Roman" w:hAnsi="Times New Roman" w:cs="Times New Roman"/>
          <w:kern w:val="0"/>
          <w:sz w:val="22"/>
        </w:rPr>
      </w:pPr>
      <w:r w:rsidRPr="00017A06">
        <w:rPr>
          <w:rFonts w:ascii="Times New Roman" w:hAnsi="Times New Roman" w:cs="Times New Roman"/>
          <w:kern w:val="0"/>
          <w:sz w:val="22"/>
        </w:rPr>
        <w:t>6.</w:t>
      </w:r>
      <w:r w:rsidRPr="00017A06">
        <w:rPr>
          <w:rFonts w:ascii="Times New Roman" w:hAnsi="Times New Roman" w:cs="Times New Roman"/>
          <w:kern w:val="0"/>
          <w:sz w:val="22"/>
        </w:rPr>
        <w:tab/>
        <w:t xml:space="preserve">Lacroix C, Kheloufi F, Montastruc F, Bennis Y, Pizzoglio V, Micallef J. Serious central nervous system side effects of cephalosporins: A national analysis of serious reports registered in the French Pharmacovigilance Database. Journal of the Neurological Sciences. 2019 Mar 15;398:196–201. </w:t>
      </w:r>
    </w:p>
    <w:p w14:paraId="3BF8AF79" w14:textId="77777777" w:rsidR="00017A06" w:rsidRPr="00017A06" w:rsidRDefault="00017A06">
      <w:pPr>
        <w:widowControl w:val="0"/>
        <w:autoSpaceDE w:val="0"/>
        <w:autoSpaceDN w:val="0"/>
        <w:adjustRightInd w:val="0"/>
        <w:rPr>
          <w:rFonts w:ascii="Times New Roman" w:hAnsi="Times New Roman" w:cs="Times New Roman"/>
          <w:kern w:val="0"/>
          <w:sz w:val="22"/>
        </w:rPr>
      </w:pPr>
      <w:r w:rsidRPr="00017A06">
        <w:rPr>
          <w:rFonts w:ascii="Times New Roman" w:hAnsi="Times New Roman" w:cs="Times New Roman"/>
          <w:kern w:val="0"/>
          <w:sz w:val="22"/>
        </w:rPr>
        <w:t>7.</w:t>
      </w:r>
      <w:r w:rsidRPr="00017A06">
        <w:rPr>
          <w:rFonts w:ascii="Times New Roman" w:hAnsi="Times New Roman" w:cs="Times New Roman"/>
          <w:kern w:val="0"/>
          <w:sz w:val="22"/>
        </w:rPr>
        <w:tab/>
        <w:t xml:space="preserve">Haddad NA, Schreier DJ, Fugate JE, Gajic O, Hocker SE, Ice CJ, et al. Incidence and Predictive Factors Associated with Beta-Lactam Neurotoxicity in the Critically Ill: A Retrospective Cohort Study. Neurocrit Care. 2022 Aug 1;37(1):73–80. </w:t>
      </w:r>
    </w:p>
    <w:p w14:paraId="4E7080DC" w14:textId="77777777" w:rsidR="00017A06" w:rsidRPr="00017A06" w:rsidRDefault="00017A06">
      <w:pPr>
        <w:widowControl w:val="0"/>
        <w:autoSpaceDE w:val="0"/>
        <w:autoSpaceDN w:val="0"/>
        <w:adjustRightInd w:val="0"/>
        <w:rPr>
          <w:rFonts w:ascii="Times New Roman" w:hAnsi="Times New Roman" w:cs="Times New Roman"/>
          <w:kern w:val="0"/>
          <w:sz w:val="22"/>
        </w:rPr>
      </w:pPr>
      <w:r w:rsidRPr="00017A06">
        <w:rPr>
          <w:rFonts w:ascii="Times New Roman" w:hAnsi="Times New Roman" w:cs="Times New Roman"/>
          <w:kern w:val="0"/>
          <w:sz w:val="22"/>
        </w:rPr>
        <w:t>8.</w:t>
      </w:r>
      <w:r w:rsidRPr="00017A06">
        <w:rPr>
          <w:rFonts w:ascii="Times New Roman" w:hAnsi="Times New Roman" w:cs="Times New Roman"/>
          <w:kern w:val="0"/>
          <w:sz w:val="22"/>
        </w:rPr>
        <w:tab/>
        <w:t>Research C for DE and. FDA Drug Safety Communication: Cefepime and risk of seizure in patients not receiving dosage adjustments for kidney impairment. FDA [Internet]. 2019 Jun 26 [cited 2025 Nov 11]; Available from: https://www.fda.gov/drugs/drug-safety-and-availability/fda-drug-safety-communication-cefepime-and-risk-seizure-patients-not-receiving-dosage-adjustments</w:t>
      </w:r>
    </w:p>
    <w:p w14:paraId="4D0C51D6" w14:textId="77777777" w:rsidR="00017A06" w:rsidRPr="00017A06" w:rsidRDefault="00017A06">
      <w:pPr>
        <w:widowControl w:val="0"/>
        <w:autoSpaceDE w:val="0"/>
        <w:autoSpaceDN w:val="0"/>
        <w:adjustRightInd w:val="0"/>
        <w:rPr>
          <w:rFonts w:ascii="Times New Roman" w:hAnsi="Times New Roman" w:cs="Times New Roman"/>
          <w:kern w:val="0"/>
          <w:sz w:val="22"/>
        </w:rPr>
      </w:pPr>
      <w:r w:rsidRPr="00017A06">
        <w:rPr>
          <w:rFonts w:ascii="Times New Roman" w:hAnsi="Times New Roman" w:cs="Times New Roman"/>
          <w:kern w:val="0"/>
          <w:sz w:val="22"/>
        </w:rPr>
        <w:t>9.</w:t>
      </w:r>
      <w:r w:rsidRPr="00017A06">
        <w:rPr>
          <w:rFonts w:ascii="Times New Roman" w:hAnsi="Times New Roman" w:cs="Times New Roman"/>
          <w:kern w:val="0"/>
          <w:sz w:val="22"/>
        </w:rPr>
        <w:tab/>
        <w:t xml:space="preserve">Svarch AE, Rosales MJL, Arceo DES, Quintana RR, Badillo MGC. Risk of Seizures Associated with the Use of Antibiotics from the Cephalosporin Group. Revista Mexicana de Política Exterior. 2024 Sep 26;(129):87–98. </w:t>
      </w:r>
    </w:p>
    <w:p w14:paraId="6CAC5761" w14:textId="77777777" w:rsidR="00017A06" w:rsidRPr="00017A06" w:rsidRDefault="00017A06">
      <w:pPr>
        <w:widowControl w:val="0"/>
        <w:autoSpaceDE w:val="0"/>
        <w:autoSpaceDN w:val="0"/>
        <w:adjustRightInd w:val="0"/>
        <w:rPr>
          <w:rFonts w:ascii="Times New Roman" w:hAnsi="Times New Roman" w:cs="Times New Roman"/>
          <w:kern w:val="0"/>
          <w:sz w:val="22"/>
        </w:rPr>
      </w:pPr>
      <w:r w:rsidRPr="00017A06">
        <w:rPr>
          <w:rFonts w:ascii="Times New Roman" w:hAnsi="Times New Roman" w:cs="Times New Roman"/>
          <w:kern w:val="0"/>
          <w:sz w:val="22"/>
        </w:rPr>
        <w:t>10.</w:t>
      </w:r>
      <w:r w:rsidRPr="00017A06">
        <w:rPr>
          <w:rFonts w:ascii="Times New Roman" w:hAnsi="Times New Roman" w:cs="Times New Roman"/>
          <w:kern w:val="0"/>
          <w:sz w:val="22"/>
        </w:rPr>
        <w:tab/>
        <w:t>Comisión Federal para la Protección Contra Riesgos Sanitarios. Gobierno de México. 2023 [cited 2025 Nov 10]. Cofepris alerta sobre prescripción de medicamentos con cefalosporinas. Available from: http://www.gob.mx/cofepris/articulos/cofepris-alerta-sobre-prescripcion-de-medicamentos-con-cefalosporinas?idiom=es</w:t>
      </w:r>
    </w:p>
    <w:p w14:paraId="2AA11FDF" w14:textId="77777777" w:rsidR="00017A06" w:rsidRPr="00017A06" w:rsidRDefault="00017A06">
      <w:pPr>
        <w:widowControl w:val="0"/>
        <w:autoSpaceDE w:val="0"/>
        <w:autoSpaceDN w:val="0"/>
        <w:adjustRightInd w:val="0"/>
        <w:rPr>
          <w:rFonts w:ascii="Times New Roman" w:hAnsi="Times New Roman" w:cs="Times New Roman"/>
          <w:kern w:val="0"/>
          <w:sz w:val="22"/>
        </w:rPr>
      </w:pPr>
      <w:r w:rsidRPr="00017A06">
        <w:rPr>
          <w:rFonts w:ascii="Times New Roman" w:hAnsi="Times New Roman" w:cs="Times New Roman"/>
          <w:kern w:val="0"/>
          <w:sz w:val="22"/>
        </w:rPr>
        <w:t>11.</w:t>
      </w:r>
      <w:r w:rsidRPr="00017A06">
        <w:rPr>
          <w:rFonts w:ascii="Times New Roman" w:hAnsi="Times New Roman" w:cs="Times New Roman"/>
          <w:kern w:val="0"/>
          <w:sz w:val="22"/>
        </w:rPr>
        <w:tab/>
        <w:t>Health Canada. Summary Safety Review - Cephalosporins - Assessing the Potential Risk of Seizures [Internet]. 2023 [cited 2025 Nov 10]. Available from: https://dhpp.hpfb-dgpsa.ca/review-documents/resource/SSR00291</w:t>
      </w:r>
    </w:p>
    <w:p w14:paraId="02507C9E" w14:textId="77777777" w:rsidR="00017A06" w:rsidRPr="00017A06" w:rsidRDefault="00017A06">
      <w:pPr>
        <w:widowControl w:val="0"/>
        <w:autoSpaceDE w:val="0"/>
        <w:autoSpaceDN w:val="0"/>
        <w:adjustRightInd w:val="0"/>
        <w:rPr>
          <w:rFonts w:ascii="Times New Roman" w:hAnsi="Times New Roman" w:cs="Times New Roman"/>
          <w:kern w:val="0"/>
          <w:sz w:val="22"/>
        </w:rPr>
      </w:pPr>
      <w:r w:rsidRPr="00017A06">
        <w:rPr>
          <w:rFonts w:ascii="Times New Roman" w:hAnsi="Times New Roman" w:cs="Times New Roman"/>
          <w:kern w:val="0"/>
          <w:sz w:val="22"/>
        </w:rPr>
        <w:t>12.</w:t>
      </w:r>
      <w:r w:rsidRPr="00017A06">
        <w:rPr>
          <w:rFonts w:ascii="Times New Roman" w:hAnsi="Times New Roman" w:cs="Times New Roman"/>
          <w:kern w:val="0"/>
          <w:sz w:val="22"/>
        </w:rPr>
        <w:tab/>
        <w:t xml:space="preserve">MEDSAFE New Zealand Medicines and Medical Devices Safety Authority. Risk of neurotoxicity with cephalosporins. Prescriber Update. 2023 Mar;44(1):2–4. </w:t>
      </w:r>
    </w:p>
    <w:p w14:paraId="64C95B44" w14:textId="77777777" w:rsidR="00017A06" w:rsidRPr="00017A06" w:rsidRDefault="00017A06">
      <w:pPr>
        <w:widowControl w:val="0"/>
        <w:autoSpaceDE w:val="0"/>
        <w:autoSpaceDN w:val="0"/>
        <w:adjustRightInd w:val="0"/>
        <w:rPr>
          <w:rFonts w:ascii="Times New Roman" w:hAnsi="Times New Roman" w:cs="Times New Roman"/>
          <w:kern w:val="0"/>
          <w:sz w:val="22"/>
        </w:rPr>
      </w:pPr>
      <w:r w:rsidRPr="00017A06">
        <w:rPr>
          <w:rFonts w:ascii="Times New Roman" w:hAnsi="Times New Roman" w:cs="Times New Roman"/>
          <w:kern w:val="0"/>
          <w:sz w:val="22"/>
        </w:rPr>
        <w:t>13.</w:t>
      </w:r>
      <w:r w:rsidRPr="00017A06">
        <w:rPr>
          <w:rFonts w:ascii="Times New Roman" w:hAnsi="Times New Roman" w:cs="Times New Roman"/>
          <w:kern w:val="0"/>
          <w:sz w:val="22"/>
        </w:rPr>
        <w:tab/>
        <w:t>Instituto de Salud Pública, Ministerio de Salud. ISP REFUERZA ADVERTENCIA SOBRE EL RIESGO DE CONVULSIONES Y OTRAS REACCIONES DEL SISTEMA NERVIOSO CENTRAL, CON EL USO DE ANTIBIÓTICOS DE LA FAMILIA DE LAS CEFALOSPORINAS. 2024 May 27; Available from: https://www.ispch.gob.cl/alerta/isp-refuerza-advertencia-sobre-el-riesgo-de-convulsiones-y-otras-reacciones-del-sistema-nervioso-central-con-el-uso-de-antibioticos-de-la-familia-de-las-cefalosporinas/</w:t>
      </w:r>
    </w:p>
    <w:p w14:paraId="7EEF4110" w14:textId="78293847" w:rsidR="00B4070A" w:rsidRPr="00B4070A" w:rsidRDefault="00B4070A" w:rsidP="00691E31">
      <w:pPr>
        <w:spacing w:line="360" w:lineRule="auto"/>
        <w:jc w:val="both"/>
        <w:rPr>
          <w:rFonts w:ascii="Times New Roman" w:hAnsi="Times New Roman" w:cs="Times New Roman"/>
          <w:lang w:val="en-GB"/>
        </w:rPr>
      </w:pPr>
      <w:r w:rsidRPr="00A76498">
        <w:rPr>
          <w:rFonts w:ascii="Times New Roman" w:hAnsi="Times New Roman" w:cs="Times New Roman"/>
          <w:sz w:val="22"/>
          <w:szCs w:val="22"/>
          <w:lang w:val="en-GB"/>
        </w:rPr>
        <w:fldChar w:fldCharType="end"/>
      </w:r>
    </w:p>
    <w:sectPr w:rsidR="00B4070A" w:rsidRPr="00B4070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9B656" w14:textId="77777777" w:rsidR="0086170F" w:rsidRDefault="0086170F" w:rsidP="00BC12CD">
      <w:r>
        <w:separator/>
      </w:r>
    </w:p>
  </w:endnote>
  <w:endnote w:type="continuationSeparator" w:id="0">
    <w:p w14:paraId="5B4FCCB6" w14:textId="77777777" w:rsidR="0086170F" w:rsidRDefault="0086170F" w:rsidP="00BC1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3AF70" w14:textId="77777777" w:rsidR="0086170F" w:rsidRDefault="0086170F" w:rsidP="00BC12CD">
      <w:r>
        <w:separator/>
      </w:r>
    </w:p>
  </w:footnote>
  <w:footnote w:type="continuationSeparator" w:id="0">
    <w:p w14:paraId="734CE930" w14:textId="77777777" w:rsidR="0086170F" w:rsidRDefault="0086170F" w:rsidP="00BC12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EA27A"/>
    <w:multiLevelType w:val="hybridMultilevel"/>
    <w:tmpl w:val="FFFFFFFF"/>
    <w:lvl w:ilvl="0" w:tplc="57F0E7E2">
      <w:start w:val="1"/>
      <w:numFmt w:val="bullet"/>
      <w:lvlText w:val=""/>
      <w:lvlJc w:val="left"/>
      <w:pPr>
        <w:ind w:left="720" w:hanging="360"/>
      </w:pPr>
      <w:rPr>
        <w:rFonts w:ascii="Symbol" w:hAnsi="Symbol" w:hint="default"/>
      </w:rPr>
    </w:lvl>
    <w:lvl w:ilvl="1" w:tplc="7D942A74">
      <w:start w:val="1"/>
      <w:numFmt w:val="bullet"/>
      <w:lvlText w:val="o"/>
      <w:lvlJc w:val="left"/>
      <w:pPr>
        <w:ind w:left="1440" w:hanging="360"/>
      </w:pPr>
      <w:rPr>
        <w:rFonts w:ascii="Courier New" w:hAnsi="Courier New" w:hint="default"/>
      </w:rPr>
    </w:lvl>
    <w:lvl w:ilvl="2" w:tplc="F1D63F08">
      <w:start w:val="1"/>
      <w:numFmt w:val="bullet"/>
      <w:lvlText w:val=""/>
      <w:lvlJc w:val="left"/>
      <w:pPr>
        <w:ind w:left="2160" w:hanging="360"/>
      </w:pPr>
      <w:rPr>
        <w:rFonts w:ascii="Wingdings" w:hAnsi="Wingdings" w:hint="default"/>
      </w:rPr>
    </w:lvl>
    <w:lvl w:ilvl="3" w:tplc="66567750">
      <w:start w:val="1"/>
      <w:numFmt w:val="bullet"/>
      <w:lvlText w:val=""/>
      <w:lvlJc w:val="left"/>
      <w:pPr>
        <w:ind w:left="2880" w:hanging="360"/>
      </w:pPr>
      <w:rPr>
        <w:rFonts w:ascii="Symbol" w:hAnsi="Symbol" w:hint="default"/>
      </w:rPr>
    </w:lvl>
    <w:lvl w:ilvl="4" w:tplc="DE227568">
      <w:start w:val="1"/>
      <w:numFmt w:val="bullet"/>
      <w:lvlText w:val="o"/>
      <w:lvlJc w:val="left"/>
      <w:pPr>
        <w:ind w:left="3600" w:hanging="360"/>
      </w:pPr>
      <w:rPr>
        <w:rFonts w:ascii="Courier New" w:hAnsi="Courier New" w:hint="default"/>
      </w:rPr>
    </w:lvl>
    <w:lvl w:ilvl="5" w:tplc="863295B2">
      <w:start w:val="1"/>
      <w:numFmt w:val="bullet"/>
      <w:lvlText w:val=""/>
      <w:lvlJc w:val="left"/>
      <w:pPr>
        <w:ind w:left="4320" w:hanging="360"/>
      </w:pPr>
      <w:rPr>
        <w:rFonts w:ascii="Wingdings" w:hAnsi="Wingdings" w:hint="default"/>
      </w:rPr>
    </w:lvl>
    <w:lvl w:ilvl="6" w:tplc="54A482B6">
      <w:start w:val="1"/>
      <w:numFmt w:val="bullet"/>
      <w:lvlText w:val=""/>
      <w:lvlJc w:val="left"/>
      <w:pPr>
        <w:ind w:left="5040" w:hanging="360"/>
      </w:pPr>
      <w:rPr>
        <w:rFonts w:ascii="Symbol" w:hAnsi="Symbol" w:hint="default"/>
      </w:rPr>
    </w:lvl>
    <w:lvl w:ilvl="7" w:tplc="0FB275E4">
      <w:start w:val="1"/>
      <w:numFmt w:val="bullet"/>
      <w:lvlText w:val="o"/>
      <w:lvlJc w:val="left"/>
      <w:pPr>
        <w:ind w:left="5760" w:hanging="360"/>
      </w:pPr>
      <w:rPr>
        <w:rFonts w:ascii="Courier New" w:hAnsi="Courier New" w:hint="default"/>
      </w:rPr>
    </w:lvl>
    <w:lvl w:ilvl="8" w:tplc="33B071E0">
      <w:start w:val="1"/>
      <w:numFmt w:val="bullet"/>
      <w:lvlText w:val=""/>
      <w:lvlJc w:val="left"/>
      <w:pPr>
        <w:ind w:left="6480" w:hanging="360"/>
      </w:pPr>
      <w:rPr>
        <w:rFonts w:ascii="Wingdings" w:hAnsi="Wingdings" w:hint="default"/>
      </w:rPr>
    </w:lvl>
  </w:abstractNum>
  <w:abstractNum w:abstractNumId="1" w15:restartNumberingAfterBreak="0">
    <w:nsid w:val="2780CE93"/>
    <w:multiLevelType w:val="hybridMultilevel"/>
    <w:tmpl w:val="FFFFFFFF"/>
    <w:lvl w:ilvl="0" w:tplc="DE3C1E60">
      <w:start w:val="1"/>
      <w:numFmt w:val="bullet"/>
      <w:lvlText w:val=""/>
      <w:lvlJc w:val="left"/>
      <w:pPr>
        <w:ind w:left="720" w:hanging="360"/>
      </w:pPr>
      <w:rPr>
        <w:rFonts w:ascii="Symbol" w:hAnsi="Symbol" w:hint="default"/>
      </w:rPr>
    </w:lvl>
    <w:lvl w:ilvl="1" w:tplc="B66837EC">
      <w:start w:val="1"/>
      <w:numFmt w:val="bullet"/>
      <w:lvlText w:val="o"/>
      <w:lvlJc w:val="left"/>
      <w:pPr>
        <w:ind w:left="1440" w:hanging="360"/>
      </w:pPr>
      <w:rPr>
        <w:rFonts w:ascii="Courier New" w:hAnsi="Courier New" w:hint="default"/>
      </w:rPr>
    </w:lvl>
    <w:lvl w:ilvl="2" w:tplc="AF18B1FA">
      <w:start w:val="1"/>
      <w:numFmt w:val="bullet"/>
      <w:lvlText w:val=""/>
      <w:lvlJc w:val="left"/>
      <w:pPr>
        <w:ind w:left="2160" w:hanging="360"/>
      </w:pPr>
      <w:rPr>
        <w:rFonts w:ascii="Wingdings" w:hAnsi="Wingdings" w:hint="default"/>
      </w:rPr>
    </w:lvl>
    <w:lvl w:ilvl="3" w:tplc="673C03EC">
      <w:start w:val="1"/>
      <w:numFmt w:val="bullet"/>
      <w:lvlText w:val=""/>
      <w:lvlJc w:val="left"/>
      <w:pPr>
        <w:ind w:left="2880" w:hanging="360"/>
      </w:pPr>
      <w:rPr>
        <w:rFonts w:ascii="Symbol" w:hAnsi="Symbol" w:hint="default"/>
      </w:rPr>
    </w:lvl>
    <w:lvl w:ilvl="4" w:tplc="BB3C716A">
      <w:start w:val="1"/>
      <w:numFmt w:val="bullet"/>
      <w:lvlText w:val="o"/>
      <w:lvlJc w:val="left"/>
      <w:pPr>
        <w:ind w:left="3600" w:hanging="360"/>
      </w:pPr>
      <w:rPr>
        <w:rFonts w:ascii="Courier New" w:hAnsi="Courier New" w:hint="default"/>
      </w:rPr>
    </w:lvl>
    <w:lvl w:ilvl="5" w:tplc="5DCCBC3A">
      <w:start w:val="1"/>
      <w:numFmt w:val="bullet"/>
      <w:lvlText w:val=""/>
      <w:lvlJc w:val="left"/>
      <w:pPr>
        <w:ind w:left="4320" w:hanging="360"/>
      </w:pPr>
      <w:rPr>
        <w:rFonts w:ascii="Wingdings" w:hAnsi="Wingdings" w:hint="default"/>
      </w:rPr>
    </w:lvl>
    <w:lvl w:ilvl="6" w:tplc="9F7A9584">
      <w:start w:val="1"/>
      <w:numFmt w:val="bullet"/>
      <w:lvlText w:val=""/>
      <w:lvlJc w:val="left"/>
      <w:pPr>
        <w:ind w:left="5040" w:hanging="360"/>
      </w:pPr>
      <w:rPr>
        <w:rFonts w:ascii="Symbol" w:hAnsi="Symbol" w:hint="default"/>
      </w:rPr>
    </w:lvl>
    <w:lvl w:ilvl="7" w:tplc="7534D368">
      <w:start w:val="1"/>
      <w:numFmt w:val="bullet"/>
      <w:lvlText w:val="o"/>
      <w:lvlJc w:val="left"/>
      <w:pPr>
        <w:ind w:left="5760" w:hanging="360"/>
      </w:pPr>
      <w:rPr>
        <w:rFonts w:ascii="Courier New" w:hAnsi="Courier New" w:hint="default"/>
      </w:rPr>
    </w:lvl>
    <w:lvl w:ilvl="8" w:tplc="B48CF7CC">
      <w:start w:val="1"/>
      <w:numFmt w:val="bullet"/>
      <w:lvlText w:val=""/>
      <w:lvlJc w:val="left"/>
      <w:pPr>
        <w:ind w:left="6480" w:hanging="360"/>
      </w:pPr>
      <w:rPr>
        <w:rFonts w:ascii="Wingdings" w:hAnsi="Wingdings" w:hint="default"/>
      </w:rPr>
    </w:lvl>
  </w:abstractNum>
  <w:abstractNum w:abstractNumId="2" w15:restartNumberingAfterBreak="0">
    <w:nsid w:val="3BD94348"/>
    <w:multiLevelType w:val="hybridMultilevel"/>
    <w:tmpl w:val="DC2C19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987A190"/>
    <w:multiLevelType w:val="hybridMultilevel"/>
    <w:tmpl w:val="FE26B3F8"/>
    <w:lvl w:ilvl="0" w:tplc="E0A6DA3C">
      <w:start w:val="1"/>
      <w:numFmt w:val="decimal"/>
      <w:lvlText w:val="%1."/>
      <w:lvlJc w:val="left"/>
      <w:pPr>
        <w:ind w:left="720" w:hanging="360"/>
      </w:pPr>
    </w:lvl>
    <w:lvl w:ilvl="1" w:tplc="B5FAEDE6">
      <w:start w:val="1"/>
      <w:numFmt w:val="lowerLetter"/>
      <w:lvlText w:val="%2."/>
      <w:lvlJc w:val="left"/>
      <w:pPr>
        <w:ind w:left="1440" w:hanging="360"/>
      </w:pPr>
    </w:lvl>
    <w:lvl w:ilvl="2" w:tplc="15D85FEE">
      <w:start w:val="1"/>
      <w:numFmt w:val="lowerRoman"/>
      <w:lvlText w:val="%3."/>
      <w:lvlJc w:val="right"/>
      <w:pPr>
        <w:ind w:left="2160" w:hanging="180"/>
      </w:pPr>
    </w:lvl>
    <w:lvl w:ilvl="3" w:tplc="A47EE9AC">
      <w:start w:val="1"/>
      <w:numFmt w:val="decimal"/>
      <w:lvlText w:val="%4."/>
      <w:lvlJc w:val="left"/>
      <w:pPr>
        <w:ind w:left="2880" w:hanging="360"/>
      </w:pPr>
    </w:lvl>
    <w:lvl w:ilvl="4" w:tplc="F6026E0A">
      <w:start w:val="1"/>
      <w:numFmt w:val="lowerLetter"/>
      <w:lvlText w:val="%5."/>
      <w:lvlJc w:val="left"/>
      <w:pPr>
        <w:ind w:left="3600" w:hanging="360"/>
      </w:pPr>
    </w:lvl>
    <w:lvl w:ilvl="5" w:tplc="E1E0F9D4">
      <w:start w:val="1"/>
      <w:numFmt w:val="lowerRoman"/>
      <w:lvlText w:val="%6."/>
      <w:lvlJc w:val="right"/>
      <w:pPr>
        <w:ind w:left="4320" w:hanging="180"/>
      </w:pPr>
    </w:lvl>
    <w:lvl w:ilvl="6" w:tplc="FC24B9E0">
      <w:start w:val="1"/>
      <w:numFmt w:val="decimal"/>
      <w:lvlText w:val="%7."/>
      <w:lvlJc w:val="left"/>
      <w:pPr>
        <w:ind w:left="5040" w:hanging="360"/>
      </w:pPr>
    </w:lvl>
    <w:lvl w:ilvl="7" w:tplc="4CF4B26C">
      <w:start w:val="1"/>
      <w:numFmt w:val="lowerLetter"/>
      <w:lvlText w:val="%8."/>
      <w:lvlJc w:val="left"/>
      <w:pPr>
        <w:ind w:left="5760" w:hanging="360"/>
      </w:pPr>
    </w:lvl>
    <w:lvl w:ilvl="8" w:tplc="63285F7E">
      <w:start w:val="1"/>
      <w:numFmt w:val="lowerRoman"/>
      <w:lvlText w:val="%9."/>
      <w:lvlJc w:val="right"/>
      <w:pPr>
        <w:ind w:left="6480" w:hanging="180"/>
      </w:pPr>
    </w:lvl>
  </w:abstractNum>
  <w:abstractNum w:abstractNumId="4" w15:restartNumberingAfterBreak="0">
    <w:nsid w:val="54C26E51"/>
    <w:multiLevelType w:val="hybridMultilevel"/>
    <w:tmpl w:val="C178BC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5CB0358"/>
    <w:multiLevelType w:val="hybridMultilevel"/>
    <w:tmpl w:val="F86021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0E76985"/>
    <w:multiLevelType w:val="hybridMultilevel"/>
    <w:tmpl w:val="D4DA51B4"/>
    <w:lvl w:ilvl="0" w:tplc="C3B815A6">
      <w:start w:val="1"/>
      <w:numFmt w:val="decimal"/>
      <w:lvlText w:val="%1."/>
      <w:lvlJc w:val="left"/>
      <w:pPr>
        <w:ind w:left="720" w:hanging="360"/>
      </w:pPr>
    </w:lvl>
    <w:lvl w:ilvl="1" w:tplc="C06C7700">
      <w:start w:val="1"/>
      <w:numFmt w:val="lowerLetter"/>
      <w:lvlText w:val="%2."/>
      <w:lvlJc w:val="left"/>
      <w:pPr>
        <w:ind w:left="1440" w:hanging="360"/>
      </w:pPr>
    </w:lvl>
    <w:lvl w:ilvl="2" w:tplc="C5A6FE3A">
      <w:start w:val="1"/>
      <w:numFmt w:val="lowerRoman"/>
      <w:lvlText w:val="%3."/>
      <w:lvlJc w:val="right"/>
      <w:pPr>
        <w:ind w:left="2160" w:hanging="180"/>
      </w:pPr>
    </w:lvl>
    <w:lvl w:ilvl="3" w:tplc="B8484B24">
      <w:start w:val="1"/>
      <w:numFmt w:val="decimal"/>
      <w:lvlText w:val="%4."/>
      <w:lvlJc w:val="left"/>
      <w:pPr>
        <w:ind w:left="2880" w:hanging="360"/>
      </w:pPr>
    </w:lvl>
    <w:lvl w:ilvl="4" w:tplc="06BE0B18">
      <w:start w:val="1"/>
      <w:numFmt w:val="lowerLetter"/>
      <w:lvlText w:val="%5."/>
      <w:lvlJc w:val="left"/>
      <w:pPr>
        <w:ind w:left="3600" w:hanging="360"/>
      </w:pPr>
    </w:lvl>
    <w:lvl w:ilvl="5" w:tplc="110EBCEC">
      <w:start w:val="1"/>
      <w:numFmt w:val="lowerRoman"/>
      <w:lvlText w:val="%6."/>
      <w:lvlJc w:val="right"/>
      <w:pPr>
        <w:ind w:left="4320" w:hanging="180"/>
      </w:pPr>
    </w:lvl>
    <w:lvl w:ilvl="6" w:tplc="489E5132">
      <w:start w:val="1"/>
      <w:numFmt w:val="decimal"/>
      <w:lvlText w:val="%7."/>
      <w:lvlJc w:val="left"/>
      <w:pPr>
        <w:ind w:left="5040" w:hanging="360"/>
      </w:pPr>
    </w:lvl>
    <w:lvl w:ilvl="7" w:tplc="64126370">
      <w:start w:val="1"/>
      <w:numFmt w:val="lowerLetter"/>
      <w:lvlText w:val="%8."/>
      <w:lvlJc w:val="left"/>
      <w:pPr>
        <w:ind w:left="5760" w:hanging="360"/>
      </w:pPr>
    </w:lvl>
    <w:lvl w:ilvl="8" w:tplc="5F966888">
      <w:start w:val="1"/>
      <w:numFmt w:val="lowerRoman"/>
      <w:lvlText w:val="%9."/>
      <w:lvlJc w:val="right"/>
      <w:pPr>
        <w:ind w:left="6480" w:hanging="180"/>
      </w:pPr>
    </w:lvl>
  </w:abstractNum>
  <w:abstractNum w:abstractNumId="7" w15:restartNumberingAfterBreak="0">
    <w:nsid w:val="715638B3"/>
    <w:multiLevelType w:val="multilevel"/>
    <w:tmpl w:val="C286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C85C53"/>
    <w:multiLevelType w:val="multilevel"/>
    <w:tmpl w:val="652A6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94DD53"/>
    <w:multiLevelType w:val="hybridMultilevel"/>
    <w:tmpl w:val="FFFFFFFF"/>
    <w:lvl w:ilvl="0" w:tplc="78B668CE">
      <w:start w:val="1"/>
      <w:numFmt w:val="bullet"/>
      <w:lvlText w:val=""/>
      <w:lvlJc w:val="left"/>
      <w:pPr>
        <w:ind w:left="720" w:hanging="360"/>
      </w:pPr>
      <w:rPr>
        <w:rFonts w:ascii="Symbol" w:hAnsi="Symbol" w:hint="default"/>
      </w:rPr>
    </w:lvl>
    <w:lvl w:ilvl="1" w:tplc="0A7802AA">
      <w:start w:val="1"/>
      <w:numFmt w:val="bullet"/>
      <w:lvlText w:val="o"/>
      <w:lvlJc w:val="left"/>
      <w:pPr>
        <w:ind w:left="1440" w:hanging="360"/>
      </w:pPr>
      <w:rPr>
        <w:rFonts w:ascii="Courier New" w:hAnsi="Courier New" w:hint="default"/>
      </w:rPr>
    </w:lvl>
    <w:lvl w:ilvl="2" w:tplc="B328A76C">
      <w:start w:val="1"/>
      <w:numFmt w:val="bullet"/>
      <w:lvlText w:val=""/>
      <w:lvlJc w:val="left"/>
      <w:pPr>
        <w:ind w:left="2160" w:hanging="360"/>
      </w:pPr>
      <w:rPr>
        <w:rFonts w:ascii="Wingdings" w:hAnsi="Wingdings" w:hint="default"/>
      </w:rPr>
    </w:lvl>
    <w:lvl w:ilvl="3" w:tplc="688E91B0">
      <w:start w:val="1"/>
      <w:numFmt w:val="bullet"/>
      <w:lvlText w:val=""/>
      <w:lvlJc w:val="left"/>
      <w:pPr>
        <w:ind w:left="2880" w:hanging="360"/>
      </w:pPr>
      <w:rPr>
        <w:rFonts w:ascii="Symbol" w:hAnsi="Symbol" w:hint="default"/>
      </w:rPr>
    </w:lvl>
    <w:lvl w:ilvl="4" w:tplc="8368973A">
      <w:start w:val="1"/>
      <w:numFmt w:val="bullet"/>
      <w:lvlText w:val="o"/>
      <w:lvlJc w:val="left"/>
      <w:pPr>
        <w:ind w:left="3600" w:hanging="360"/>
      </w:pPr>
      <w:rPr>
        <w:rFonts w:ascii="Courier New" w:hAnsi="Courier New" w:hint="default"/>
      </w:rPr>
    </w:lvl>
    <w:lvl w:ilvl="5" w:tplc="3BC2DACA">
      <w:start w:val="1"/>
      <w:numFmt w:val="bullet"/>
      <w:lvlText w:val=""/>
      <w:lvlJc w:val="left"/>
      <w:pPr>
        <w:ind w:left="4320" w:hanging="360"/>
      </w:pPr>
      <w:rPr>
        <w:rFonts w:ascii="Wingdings" w:hAnsi="Wingdings" w:hint="default"/>
      </w:rPr>
    </w:lvl>
    <w:lvl w:ilvl="6" w:tplc="22E873DE">
      <w:start w:val="1"/>
      <w:numFmt w:val="bullet"/>
      <w:lvlText w:val=""/>
      <w:lvlJc w:val="left"/>
      <w:pPr>
        <w:ind w:left="5040" w:hanging="360"/>
      </w:pPr>
      <w:rPr>
        <w:rFonts w:ascii="Symbol" w:hAnsi="Symbol" w:hint="default"/>
      </w:rPr>
    </w:lvl>
    <w:lvl w:ilvl="7" w:tplc="A70C2622">
      <w:start w:val="1"/>
      <w:numFmt w:val="bullet"/>
      <w:lvlText w:val="o"/>
      <w:lvlJc w:val="left"/>
      <w:pPr>
        <w:ind w:left="5760" w:hanging="360"/>
      </w:pPr>
      <w:rPr>
        <w:rFonts w:ascii="Courier New" w:hAnsi="Courier New" w:hint="default"/>
      </w:rPr>
    </w:lvl>
    <w:lvl w:ilvl="8" w:tplc="3102AA1A">
      <w:start w:val="1"/>
      <w:numFmt w:val="bullet"/>
      <w:lvlText w:val=""/>
      <w:lvlJc w:val="left"/>
      <w:pPr>
        <w:ind w:left="6480" w:hanging="360"/>
      </w:pPr>
      <w:rPr>
        <w:rFonts w:ascii="Wingdings" w:hAnsi="Wingdings" w:hint="default"/>
      </w:rPr>
    </w:lvl>
  </w:abstractNum>
  <w:num w:numId="1" w16cid:durableId="1165130164">
    <w:abstractNumId w:val="8"/>
  </w:num>
  <w:num w:numId="2" w16cid:durableId="1333558054">
    <w:abstractNumId w:val="3"/>
  </w:num>
  <w:num w:numId="3" w16cid:durableId="1409112349">
    <w:abstractNumId w:val="6"/>
  </w:num>
  <w:num w:numId="4" w16cid:durableId="1489593572">
    <w:abstractNumId w:val="5"/>
  </w:num>
  <w:num w:numId="5" w16cid:durableId="1505439548">
    <w:abstractNumId w:val="4"/>
  </w:num>
  <w:num w:numId="6" w16cid:durableId="15427069">
    <w:abstractNumId w:val="7"/>
  </w:num>
  <w:num w:numId="7" w16cid:durableId="871192984">
    <w:abstractNumId w:val="0"/>
  </w:num>
  <w:num w:numId="8" w16cid:durableId="1045103555">
    <w:abstractNumId w:val="9"/>
  </w:num>
  <w:num w:numId="9" w16cid:durableId="641155051">
    <w:abstractNumId w:val="1"/>
  </w:num>
  <w:num w:numId="10" w16cid:durableId="2000576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BE8"/>
    <w:rsid w:val="00000C84"/>
    <w:rsid w:val="000018DF"/>
    <w:rsid w:val="000079D8"/>
    <w:rsid w:val="000108A4"/>
    <w:rsid w:val="00014D87"/>
    <w:rsid w:val="00015A73"/>
    <w:rsid w:val="0001602F"/>
    <w:rsid w:val="00017A06"/>
    <w:rsid w:val="00022EB2"/>
    <w:rsid w:val="000234F9"/>
    <w:rsid w:val="00024B1C"/>
    <w:rsid w:val="00044B64"/>
    <w:rsid w:val="000468AA"/>
    <w:rsid w:val="000474BD"/>
    <w:rsid w:val="00055530"/>
    <w:rsid w:val="00060899"/>
    <w:rsid w:val="00062503"/>
    <w:rsid w:val="00064C37"/>
    <w:rsid w:val="000663CF"/>
    <w:rsid w:val="0006737E"/>
    <w:rsid w:val="00067C71"/>
    <w:rsid w:val="00070A5A"/>
    <w:rsid w:val="00072319"/>
    <w:rsid w:val="000723AE"/>
    <w:rsid w:val="0007438A"/>
    <w:rsid w:val="00083844"/>
    <w:rsid w:val="00084D25"/>
    <w:rsid w:val="00087BB7"/>
    <w:rsid w:val="00091F1D"/>
    <w:rsid w:val="00094AFF"/>
    <w:rsid w:val="000964B9"/>
    <w:rsid w:val="000A5FF7"/>
    <w:rsid w:val="000A6A67"/>
    <w:rsid w:val="000B1C64"/>
    <w:rsid w:val="000B1EA7"/>
    <w:rsid w:val="000B3E96"/>
    <w:rsid w:val="000B3EE7"/>
    <w:rsid w:val="000B4714"/>
    <w:rsid w:val="000B4BD1"/>
    <w:rsid w:val="000C021E"/>
    <w:rsid w:val="000C025C"/>
    <w:rsid w:val="000C16E2"/>
    <w:rsid w:val="000C5A77"/>
    <w:rsid w:val="000C6892"/>
    <w:rsid w:val="000C7BED"/>
    <w:rsid w:val="000D2C4E"/>
    <w:rsid w:val="000D3245"/>
    <w:rsid w:val="000D6545"/>
    <w:rsid w:val="000E10E4"/>
    <w:rsid w:val="000F1A34"/>
    <w:rsid w:val="000F4FF1"/>
    <w:rsid w:val="000F546A"/>
    <w:rsid w:val="000F6D5F"/>
    <w:rsid w:val="000F7E52"/>
    <w:rsid w:val="001018C6"/>
    <w:rsid w:val="00105A5B"/>
    <w:rsid w:val="00110D6B"/>
    <w:rsid w:val="00112E04"/>
    <w:rsid w:val="001239AF"/>
    <w:rsid w:val="0012454E"/>
    <w:rsid w:val="00130D3B"/>
    <w:rsid w:val="00131717"/>
    <w:rsid w:val="00131A9B"/>
    <w:rsid w:val="001334A2"/>
    <w:rsid w:val="00140D0D"/>
    <w:rsid w:val="0014224E"/>
    <w:rsid w:val="00144814"/>
    <w:rsid w:val="00145296"/>
    <w:rsid w:val="00147E32"/>
    <w:rsid w:val="00150067"/>
    <w:rsid w:val="00150A33"/>
    <w:rsid w:val="00163818"/>
    <w:rsid w:val="001704DF"/>
    <w:rsid w:val="00171982"/>
    <w:rsid w:val="00171B33"/>
    <w:rsid w:val="00174C4A"/>
    <w:rsid w:val="00174D88"/>
    <w:rsid w:val="00185826"/>
    <w:rsid w:val="00186A95"/>
    <w:rsid w:val="00191016"/>
    <w:rsid w:val="00191630"/>
    <w:rsid w:val="00195655"/>
    <w:rsid w:val="0019708C"/>
    <w:rsid w:val="001977E6"/>
    <w:rsid w:val="001A05E3"/>
    <w:rsid w:val="001A1E6A"/>
    <w:rsid w:val="001A289E"/>
    <w:rsid w:val="001A609E"/>
    <w:rsid w:val="001A7214"/>
    <w:rsid w:val="001A7348"/>
    <w:rsid w:val="001B028A"/>
    <w:rsid w:val="001B0412"/>
    <w:rsid w:val="001B0A55"/>
    <w:rsid w:val="001B6934"/>
    <w:rsid w:val="001C08FA"/>
    <w:rsid w:val="001C1F94"/>
    <w:rsid w:val="001C25CC"/>
    <w:rsid w:val="001C2799"/>
    <w:rsid w:val="001C36BA"/>
    <w:rsid w:val="001C48E8"/>
    <w:rsid w:val="001C6266"/>
    <w:rsid w:val="001C67AB"/>
    <w:rsid w:val="001D0C0D"/>
    <w:rsid w:val="001D2501"/>
    <w:rsid w:val="001D2987"/>
    <w:rsid w:val="001D4F6B"/>
    <w:rsid w:val="001D57A5"/>
    <w:rsid w:val="001D64C2"/>
    <w:rsid w:val="001D698F"/>
    <w:rsid w:val="001D7F4C"/>
    <w:rsid w:val="001E04F0"/>
    <w:rsid w:val="001E570F"/>
    <w:rsid w:val="001E6470"/>
    <w:rsid w:val="001F52AE"/>
    <w:rsid w:val="00207517"/>
    <w:rsid w:val="00207CBB"/>
    <w:rsid w:val="00207E70"/>
    <w:rsid w:val="0021070B"/>
    <w:rsid w:val="0021148D"/>
    <w:rsid w:val="00215D0E"/>
    <w:rsid w:val="00215E12"/>
    <w:rsid w:val="002216ED"/>
    <w:rsid w:val="00222E92"/>
    <w:rsid w:val="00222ECF"/>
    <w:rsid w:val="00227090"/>
    <w:rsid w:val="00230F80"/>
    <w:rsid w:val="00231D0D"/>
    <w:rsid w:val="00233820"/>
    <w:rsid w:val="00247943"/>
    <w:rsid w:val="00247A54"/>
    <w:rsid w:val="00251D11"/>
    <w:rsid w:val="0025275C"/>
    <w:rsid w:val="00254013"/>
    <w:rsid w:val="00255295"/>
    <w:rsid w:val="00261F5A"/>
    <w:rsid w:val="00266616"/>
    <w:rsid w:val="002676C6"/>
    <w:rsid w:val="002740FF"/>
    <w:rsid w:val="00274302"/>
    <w:rsid w:val="00274810"/>
    <w:rsid w:val="00275666"/>
    <w:rsid w:val="002756D2"/>
    <w:rsid w:val="00280206"/>
    <w:rsid w:val="002842A8"/>
    <w:rsid w:val="00285A1D"/>
    <w:rsid w:val="00286474"/>
    <w:rsid w:val="002875CE"/>
    <w:rsid w:val="00290E39"/>
    <w:rsid w:val="00293E07"/>
    <w:rsid w:val="00296C9E"/>
    <w:rsid w:val="00296D32"/>
    <w:rsid w:val="002A1DB4"/>
    <w:rsid w:val="002A6FE8"/>
    <w:rsid w:val="002A974E"/>
    <w:rsid w:val="002B014A"/>
    <w:rsid w:val="002B01F5"/>
    <w:rsid w:val="002B2439"/>
    <w:rsid w:val="002B3ACB"/>
    <w:rsid w:val="002B435C"/>
    <w:rsid w:val="002C0595"/>
    <w:rsid w:val="002C0A7D"/>
    <w:rsid w:val="002D1DC8"/>
    <w:rsid w:val="002D49A3"/>
    <w:rsid w:val="002E3E72"/>
    <w:rsid w:val="002E47F5"/>
    <w:rsid w:val="002F04B3"/>
    <w:rsid w:val="002F190B"/>
    <w:rsid w:val="002F7690"/>
    <w:rsid w:val="003047CA"/>
    <w:rsid w:val="00306401"/>
    <w:rsid w:val="00307D21"/>
    <w:rsid w:val="003109DE"/>
    <w:rsid w:val="00313246"/>
    <w:rsid w:val="003145CD"/>
    <w:rsid w:val="00315F9C"/>
    <w:rsid w:val="003171A0"/>
    <w:rsid w:val="0031796D"/>
    <w:rsid w:val="00317D90"/>
    <w:rsid w:val="00322847"/>
    <w:rsid w:val="00322852"/>
    <w:rsid w:val="00324658"/>
    <w:rsid w:val="00330C0F"/>
    <w:rsid w:val="00331B71"/>
    <w:rsid w:val="00331B8B"/>
    <w:rsid w:val="0033536C"/>
    <w:rsid w:val="0033780B"/>
    <w:rsid w:val="0034159D"/>
    <w:rsid w:val="0034178D"/>
    <w:rsid w:val="00342EC4"/>
    <w:rsid w:val="00343765"/>
    <w:rsid w:val="003478DB"/>
    <w:rsid w:val="00351D9C"/>
    <w:rsid w:val="00353646"/>
    <w:rsid w:val="00356A6D"/>
    <w:rsid w:val="00356ACB"/>
    <w:rsid w:val="00360C01"/>
    <w:rsid w:val="003658F7"/>
    <w:rsid w:val="003666EA"/>
    <w:rsid w:val="00366C0E"/>
    <w:rsid w:val="003670D5"/>
    <w:rsid w:val="0037285B"/>
    <w:rsid w:val="00375388"/>
    <w:rsid w:val="00377109"/>
    <w:rsid w:val="00382AAF"/>
    <w:rsid w:val="00386836"/>
    <w:rsid w:val="00397BEB"/>
    <w:rsid w:val="003A001D"/>
    <w:rsid w:val="003A0574"/>
    <w:rsid w:val="003A0F40"/>
    <w:rsid w:val="003A19DB"/>
    <w:rsid w:val="003A2799"/>
    <w:rsid w:val="003A2A00"/>
    <w:rsid w:val="003A4B6D"/>
    <w:rsid w:val="003A62B8"/>
    <w:rsid w:val="003A684E"/>
    <w:rsid w:val="003A6EE5"/>
    <w:rsid w:val="003B786B"/>
    <w:rsid w:val="003C01F3"/>
    <w:rsid w:val="003C060C"/>
    <w:rsid w:val="003C56F1"/>
    <w:rsid w:val="003C6633"/>
    <w:rsid w:val="003C7EEC"/>
    <w:rsid w:val="003D1D60"/>
    <w:rsid w:val="003D2A59"/>
    <w:rsid w:val="003D5D1A"/>
    <w:rsid w:val="003D5D3E"/>
    <w:rsid w:val="003E3BA0"/>
    <w:rsid w:val="003E3D1C"/>
    <w:rsid w:val="003E4FD0"/>
    <w:rsid w:val="003F2A0D"/>
    <w:rsid w:val="00404797"/>
    <w:rsid w:val="00404CDD"/>
    <w:rsid w:val="00407048"/>
    <w:rsid w:val="00411964"/>
    <w:rsid w:val="00413F3B"/>
    <w:rsid w:val="00414407"/>
    <w:rsid w:val="00416BFE"/>
    <w:rsid w:val="00423190"/>
    <w:rsid w:val="004333D4"/>
    <w:rsid w:val="00433C13"/>
    <w:rsid w:val="004348D7"/>
    <w:rsid w:val="004355C2"/>
    <w:rsid w:val="00441C5E"/>
    <w:rsid w:val="0044242D"/>
    <w:rsid w:val="00450F6B"/>
    <w:rsid w:val="004542B4"/>
    <w:rsid w:val="004622AA"/>
    <w:rsid w:val="004623D3"/>
    <w:rsid w:val="00463C67"/>
    <w:rsid w:val="004655D2"/>
    <w:rsid w:val="00467089"/>
    <w:rsid w:val="004713DE"/>
    <w:rsid w:val="00471517"/>
    <w:rsid w:val="004716C1"/>
    <w:rsid w:val="0047242D"/>
    <w:rsid w:val="00472F16"/>
    <w:rsid w:val="004747F5"/>
    <w:rsid w:val="0048120C"/>
    <w:rsid w:val="00486F7A"/>
    <w:rsid w:val="00487BF0"/>
    <w:rsid w:val="00494524"/>
    <w:rsid w:val="004A317E"/>
    <w:rsid w:val="004A39C9"/>
    <w:rsid w:val="004A4FC9"/>
    <w:rsid w:val="004B4D49"/>
    <w:rsid w:val="004B58D8"/>
    <w:rsid w:val="004D20E5"/>
    <w:rsid w:val="004D4DA0"/>
    <w:rsid w:val="004D5CC3"/>
    <w:rsid w:val="004F13B2"/>
    <w:rsid w:val="004F280B"/>
    <w:rsid w:val="004F2A8A"/>
    <w:rsid w:val="004F33E5"/>
    <w:rsid w:val="004F3EE6"/>
    <w:rsid w:val="004F5880"/>
    <w:rsid w:val="004F65E2"/>
    <w:rsid w:val="00500177"/>
    <w:rsid w:val="00503A2A"/>
    <w:rsid w:val="005066A1"/>
    <w:rsid w:val="005114DF"/>
    <w:rsid w:val="00512800"/>
    <w:rsid w:val="00514E3C"/>
    <w:rsid w:val="00515CFA"/>
    <w:rsid w:val="0052288B"/>
    <w:rsid w:val="00524397"/>
    <w:rsid w:val="005313E8"/>
    <w:rsid w:val="00532015"/>
    <w:rsid w:val="00543FA6"/>
    <w:rsid w:val="005467C1"/>
    <w:rsid w:val="005470BF"/>
    <w:rsid w:val="00555639"/>
    <w:rsid w:val="00562E5F"/>
    <w:rsid w:val="00563383"/>
    <w:rsid w:val="005649A6"/>
    <w:rsid w:val="00573079"/>
    <w:rsid w:val="0057386E"/>
    <w:rsid w:val="0057683C"/>
    <w:rsid w:val="00577C1B"/>
    <w:rsid w:val="00583C34"/>
    <w:rsid w:val="00584CA9"/>
    <w:rsid w:val="00584F07"/>
    <w:rsid w:val="005865F5"/>
    <w:rsid w:val="005922C9"/>
    <w:rsid w:val="00596BBB"/>
    <w:rsid w:val="005A0FDB"/>
    <w:rsid w:val="005A1CFB"/>
    <w:rsid w:val="005A79A2"/>
    <w:rsid w:val="005A79BF"/>
    <w:rsid w:val="005B0C87"/>
    <w:rsid w:val="005B1AB0"/>
    <w:rsid w:val="005B2A2D"/>
    <w:rsid w:val="005B2F46"/>
    <w:rsid w:val="005B4572"/>
    <w:rsid w:val="005B7292"/>
    <w:rsid w:val="005D19D2"/>
    <w:rsid w:val="005F5554"/>
    <w:rsid w:val="005F6D9A"/>
    <w:rsid w:val="00605E09"/>
    <w:rsid w:val="006073E7"/>
    <w:rsid w:val="00607794"/>
    <w:rsid w:val="0061140C"/>
    <w:rsid w:val="006140D4"/>
    <w:rsid w:val="00623605"/>
    <w:rsid w:val="00624AB4"/>
    <w:rsid w:val="00632962"/>
    <w:rsid w:val="006332AC"/>
    <w:rsid w:val="00633646"/>
    <w:rsid w:val="0063674A"/>
    <w:rsid w:val="00646F77"/>
    <w:rsid w:val="00653C5B"/>
    <w:rsid w:val="006579C5"/>
    <w:rsid w:val="0067594F"/>
    <w:rsid w:val="006816AC"/>
    <w:rsid w:val="006826C8"/>
    <w:rsid w:val="0068300C"/>
    <w:rsid w:val="00683C36"/>
    <w:rsid w:val="00686F2C"/>
    <w:rsid w:val="00691E31"/>
    <w:rsid w:val="00696578"/>
    <w:rsid w:val="0069695B"/>
    <w:rsid w:val="006A24F5"/>
    <w:rsid w:val="006A5FAC"/>
    <w:rsid w:val="006B244C"/>
    <w:rsid w:val="006B2A25"/>
    <w:rsid w:val="006B6B2E"/>
    <w:rsid w:val="006B71A4"/>
    <w:rsid w:val="006B7F3C"/>
    <w:rsid w:val="006C17A2"/>
    <w:rsid w:val="006C5081"/>
    <w:rsid w:val="006D1B00"/>
    <w:rsid w:val="006D2855"/>
    <w:rsid w:val="006E133B"/>
    <w:rsid w:val="006E78D7"/>
    <w:rsid w:val="006F23CC"/>
    <w:rsid w:val="006F24DE"/>
    <w:rsid w:val="006F2A6A"/>
    <w:rsid w:val="006F478C"/>
    <w:rsid w:val="006F6614"/>
    <w:rsid w:val="007051EE"/>
    <w:rsid w:val="007142CA"/>
    <w:rsid w:val="007176CC"/>
    <w:rsid w:val="0072420D"/>
    <w:rsid w:val="00732CD9"/>
    <w:rsid w:val="00732D11"/>
    <w:rsid w:val="0073376F"/>
    <w:rsid w:val="00735388"/>
    <w:rsid w:val="00741B5F"/>
    <w:rsid w:val="00743828"/>
    <w:rsid w:val="0074701C"/>
    <w:rsid w:val="00747E08"/>
    <w:rsid w:val="0075125D"/>
    <w:rsid w:val="007512B6"/>
    <w:rsid w:val="0075224A"/>
    <w:rsid w:val="00752750"/>
    <w:rsid w:val="0076002D"/>
    <w:rsid w:val="007617F4"/>
    <w:rsid w:val="0076184E"/>
    <w:rsid w:val="007734FE"/>
    <w:rsid w:val="00773B52"/>
    <w:rsid w:val="00776882"/>
    <w:rsid w:val="0077778E"/>
    <w:rsid w:val="00785A4B"/>
    <w:rsid w:val="007862C3"/>
    <w:rsid w:val="00786C22"/>
    <w:rsid w:val="00786D8E"/>
    <w:rsid w:val="00787C29"/>
    <w:rsid w:val="0079338C"/>
    <w:rsid w:val="00793610"/>
    <w:rsid w:val="007A2384"/>
    <w:rsid w:val="007A4CFD"/>
    <w:rsid w:val="007A752C"/>
    <w:rsid w:val="007A7B22"/>
    <w:rsid w:val="007B255B"/>
    <w:rsid w:val="007B2775"/>
    <w:rsid w:val="007B5C7C"/>
    <w:rsid w:val="007B6B7B"/>
    <w:rsid w:val="007C0026"/>
    <w:rsid w:val="007C1B5B"/>
    <w:rsid w:val="007C3CED"/>
    <w:rsid w:val="007D5150"/>
    <w:rsid w:val="007D5200"/>
    <w:rsid w:val="007E510B"/>
    <w:rsid w:val="007F1507"/>
    <w:rsid w:val="007F24FE"/>
    <w:rsid w:val="007F55A0"/>
    <w:rsid w:val="00802C72"/>
    <w:rsid w:val="00804D9C"/>
    <w:rsid w:val="00813DB2"/>
    <w:rsid w:val="00814513"/>
    <w:rsid w:val="00817EA1"/>
    <w:rsid w:val="00821EA0"/>
    <w:rsid w:val="0082727F"/>
    <w:rsid w:val="008274C5"/>
    <w:rsid w:val="00830AD1"/>
    <w:rsid w:val="00831692"/>
    <w:rsid w:val="008336BF"/>
    <w:rsid w:val="00840355"/>
    <w:rsid w:val="0084174D"/>
    <w:rsid w:val="00842385"/>
    <w:rsid w:val="00844E96"/>
    <w:rsid w:val="0084543B"/>
    <w:rsid w:val="00850A33"/>
    <w:rsid w:val="00853A21"/>
    <w:rsid w:val="0086170F"/>
    <w:rsid w:val="00865C47"/>
    <w:rsid w:val="00870C2D"/>
    <w:rsid w:val="008727FB"/>
    <w:rsid w:val="0087421E"/>
    <w:rsid w:val="00882A44"/>
    <w:rsid w:val="0088619B"/>
    <w:rsid w:val="00891497"/>
    <w:rsid w:val="00894C0E"/>
    <w:rsid w:val="008A0254"/>
    <w:rsid w:val="008A1024"/>
    <w:rsid w:val="008A1C1B"/>
    <w:rsid w:val="008A3021"/>
    <w:rsid w:val="008A3DA7"/>
    <w:rsid w:val="008A3F5E"/>
    <w:rsid w:val="008A7BB0"/>
    <w:rsid w:val="008B5092"/>
    <w:rsid w:val="008C4D83"/>
    <w:rsid w:val="008C5CFB"/>
    <w:rsid w:val="008D2859"/>
    <w:rsid w:val="008D617E"/>
    <w:rsid w:val="008E0708"/>
    <w:rsid w:val="008E31D4"/>
    <w:rsid w:val="008E639E"/>
    <w:rsid w:val="008E6433"/>
    <w:rsid w:val="008F301C"/>
    <w:rsid w:val="008F32C6"/>
    <w:rsid w:val="008F41E1"/>
    <w:rsid w:val="008F4A03"/>
    <w:rsid w:val="008F6B8F"/>
    <w:rsid w:val="00900BEC"/>
    <w:rsid w:val="00901DF7"/>
    <w:rsid w:val="00904B1C"/>
    <w:rsid w:val="0091071A"/>
    <w:rsid w:val="009143FA"/>
    <w:rsid w:val="00915977"/>
    <w:rsid w:val="0092105B"/>
    <w:rsid w:val="00922E90"/>
    <w:rsid w:val="009236FC"/>
    <w:rsid w:val="00930053"/>
    <w:rsid w:val="009305B5"/>
    <w:rsid w:val="00930860"/>
    <w:rsid w:val="009353CD"/>
    <w:rsid w:val="00946B32"/>
    <w:rsid w:val="00947552"/>
    <w:rsid w:val="00951DA7"/>
    <w:rsid w:val="009563F5"/>
    <w:rsid w:val="00956E18"/>
    <w:rsid w:val="00960099"/>
    <w:rsid w:val="009618A5"/>
    <w:rsid w:val="00962E0A"/>
    <w:rsid w:val="00963031"/>
    <w:rsid w:val="009700FE"/>
    <w:rsid w:val="00974356"/>
    <w:rsid w:val="0097798F"/>
    <w:rsid w:val="00980723"/>
    <w:rsid w:val="00983412"/>
    <w:rsid w:val="00983619"/>
    <w:rsid w:val="0098401B"/>
    <w:rsid w:val="009841CD"/>
    <w:rsid w:val="00986B33"/>
    <w:rsid w:val="00986B7A"/>
    <w:rsid w:val="00990E34"/>
    <w:rsid w:val="00992F50"/>
    <w:rsid w:val="009979B7"/>
    <w:rsid w:val="00997BE2"/>
    <w:rsid w:val="009A1925"/>
    <w:rsid w:val="009A26FB"/>
    <w:rsid w:val="009A4056"/>
    <w:rsid w:val="009A7319"/>
    <w:rsid w:val="009B07D3"/>
    <w:rsid w:val="009C1556"/>
    <w:rsid w:val="009D66D8"/>
    <w:rsid w:val="009E0AE9"/>
    <w:rsid w:val="009E177C"/>
    <w:rsid w:val="009E5E55"/>
    <w:rsid w:val="009E64FB"/>
    <w:rsid w:val="009E6B90"/>
    <w:rsid w:val="009F03E1"/>
    <w:rsid w:val="009F31C2"/>
    <w:rsid w:val="009F619F"/>
    <w:rsid w:val="009F7B61"/>
    <w:rsid w:val="009F7CED"/>
    <w:rsid w:val="00A01635"/>
    <w:rsid w:val="00A01864"/>
    <w:rsid w:val="00A026B7"/>
    <w:rsid w:val="00A02E62"/>
    <w:rsid w:val="00A037D6"/>
    <w:rsid w:val="00A07337"/>
    <w:rsid w:val="00A10979"/>
    <w:rsid w:val="00A14A2A"/>
    <w:rsid w:val="00A158E3"/>
    <w:rsid w:val="00A23A1C"/>
    <w:rsid w:val="00A244CF"/>
    <w:rsid w:val="00A2527E"/>
    <w:rsid w:val="00A25833"/>
    <w:rsid w:val="00A25980"/>
    <w:rsid w:val="00A31434"/>
    <w:rsid w:val="00A3234E"/>
    <w:rsid w:val="00A36A8F"/>
    <w:rsid w:val="00A406E2"/>
    <w:rsid w:val="00A50DF3"/>
    <w:rsid w:val="00A50F4F"/>
    <w:rsid w:val="00A52E20"/>
    <w:rsid w:val="00A52F2B"/>
    <w:rsid w:val="00A55BBD"/>
    <w:rsid w:val="00A60DD7"/>
    <w:rsid w:val="00A60ED9"/>
    <w:rsid w:val="00A61440"/>
    <w:rsid w:val="00A65194"/>
    <w:rsid w:val="00A653C0"/>
    <w:rsid w:val="00A653DF"/>
    <w:rsid w:val="00A66AE3"/>
    <w:rsid w:val="00A714B0"/>
    <w:rsid w:val="00A72B27"/>
    <w:rsid w:val="00A730E9"/>
    <w:rsid w:val="00A75502"/>
    <w:rsid w:val="00A76498"/>
    <w:rsid w:val="00A768CB"/>
    <w:rsid w:val="00A91030"/>
    <w:rsid w:val="00A96966"/>
    <w:rsid w:val="00AA1CF2"/>
    <w:rsid w:val="00AA3BE3"/>
    <w:rsid w:val="00AA4357"/>
    <w:rsid w:val="00AB0D6D"/>
    <w:rsid w:val="00AB5209"/>
    <w:rsid w:val="00AB6138"/>
    <w:rsid w:val="00AB69CD"/>
    <w:rsid w:val="00AC39F6"/>
    <w:rsid w:val="00AC5A9C"/>
    <w:rsid w:val="00AC5E2C"/>
    <w:rsid w:val="00AC6780"/>
    <w:rsid w:val="00AC6D75"/>
    <w:rsid w:val="00AC77BC"/>
    <w:rsid w:val="00AC7900"/>
    <w:rsid w:val="00AD44B3"/>
    <w:rsid w:val="00AD4F21"/>
    <w:rsid w:val="00AD58BA"/>
    <w:rsid w:val="00AD69E5"/>
    <w:rsid w:val="00AE0539"/>
    <w:rsid w:val="00AE1CF4"/>
    <w:rsid w:val="00AE686F"/>
    <w:rsid w:val="00AF386F"/>
    <w:rsid w:val="00B016A3"/>
    <w:rsid w:val="00B06C09"/>
    <w:rsid w:val="00B10BAC"/>
    <w:rsid w:val="00B21E78"/>
    <w:rsid w:val="00B23137"/>
    <w:rsid w:val="00B25505"/>
    <w:rsid w:val="00B26272"/>
    <w:rsid w:val="00B26D5E"/>
    <w:rsid w:val="00B27CD1"/>
    <w:rsid w:val="00B32EC1"/>
    <w:rsid w:val="00B33105"/>
    <w:rsid w:val="00B4070A"/>
    <w:rsid w:val="00B42FF6"/>
    <w:rsid w:val="00B43452"/>
    <w:rsid w:val="00B43E10"/>
    <w:rsid w:val="00B47256"/>
    <w:rsid w:val="00B509F6"/>
    <w:rsid w:val="00B540D7"/>
    <w:rsid w:val="00B5455C"/>
    <w:rsid w:val="00B57329"/>
    <w:rsid w:val="00B6022A"/>
    <w:rsid w:val="00B61CB8"/>
    <w:rsid w:val="00B64E38"/>
    <w:rsid w:val="00B67269"/>
    <w:rsid w:val="00B67AE4"/>
    <w:rsid w:val="00B70215"/>
    <w:rsid w:val="00B74C2C"/>
    <w:rsid w:val="00B836A1"/>
    <w:rsid w:val="00B83BAC"/>
    <w:rsid w:val="00B9189A"/>
    <w:rsid w:val="00B95B56"/>
    <w:rsid w:val="00B97860"/>
    <w:rsid w:val="00BA1138"/>
    <w:rsid w:val="00BA1354"/>
    <w:rsid w:val="00BA1597"/>
    <w:rsid w:val="00BA4EFA"/>
    <w:rsid w:val="00BB2CE9"/>
    <w:rsid w:val="00BB33A7"/>
    <w:rsid w:val="00BB49D0"/>
    <w:rsid w:val="00BB6C03"/>
    <w:rsid w:val="00BC12CD"/>
    <w:rsid w:val="00BC1E5B"/>
    <w:rsid w:val="00BC1EFC"/>
    <w:rsid w:val="00BC4241"/>
    <w:rsid w:val="00BC50EC"/>
    <w:rsid w:val="00BC56AE"/>
    <w:rsid w:val="00BC7F80"/>
    <w:rsid w:val="00BD05D0"/>
    <w:rsid w:val="00BD3189"/>
    <w:rsid w:val="00BD39F7"/>
    <w:rsid w:val="00BE06BE"/>
    <w:rsid w:val="00BE1A2A"/>
    <w:rsid w:val="00BE2B9A"/>
    <w:rsid w:val="00BF0008"/>
    <w:rsid w:val="00BF5AB8"/>
    <w:rsid w:val="00C020F2"/>
    <w:rsid w:val="00C02508"/>
    <w:rsid w:val="00C030F5"/>
    <w:rsid w:val="00C05146"/>
    <w:rsid w:val="00C1150E"/>
    <w:rsid w:val="00C11CCB"/>
    <w:rsid w:val="00C1262E"/>
    <w:rsid w:val="00C13E11"/>
    <w:rsid w:val="00C1485C"/>
    <w:rsid w:val="00C15234"/>
    <w:rsid w:val="00C2131C"/>
    <w:rsid w:val="00C25565"/>
    <w:rsid w:val="00C263AF"/>
    <w:rsid w:val="00C40F61"/>
    <w:rsid w:val="00C41307"/>
    <w:rsid w:val="00C434F5"/>
    <w:rsid w:val="00C45F1A"/>
    <w:rsid w:val="00C51D2A"/>
    <w:rsid w:val="00C5293F"/>
    <w:rsid w:val="00C5365B"/>
    <w:rsid w:val="00C5DC6B"/>
    <w:rsid w:val="00C627E3"/>
    <w:rsid w:val="00C65F64"/>
    <w:rsid w:val="00C7057E"/>
    <w:rsid w:val="00C73D90"/>
    <w:rsid w:val="00C7459A"/>
    <w:rsid w:val="00C80761"/>
    <w:rsid w:val="00C82372"/>
    <w:rsid w:val="00C84C78"/>
    <w:rsid w:val="00C85985"/>
    <w:rsid w:val="00C91963"/>
    <w:rsid w:val="00C936D4"/>
    <w:rsid w:val="00CA1B72"/>
    <w:rsid w:val="00CA2F02"/>
    <w:rsid w:val="00CA4DD4"/>
    <w:rsid w:val="00CA6BF1"/>
    <w:rsid w:val="00CA7598"/>
    <w:rsid w:val="00CB6522"/>
    <w:rsid w:val="00CC1E10"/>
    <w:rsid w:val="00CD324B"/>
    <w:rsid w:val="00CD5C13"/>
    <w:rsid w:val="00CD7677"/>
    <w:rsid w:val="00CD79D2"/>
    <w:rsid w:val="00CE01B8"/>
    <w:rsid w:val="00CE1CF1"/>
    <w:rsid w:val="00CE1E10"/>
    <w:rsid w:val="00CE2BBD"/>
    <w:rsid w:val="00CE3163"/>
    <w:rsid w:val="00CE4332"/>
    <w:rsid w:val="00CE4607"/>
    <w:rsid w:val="00CE692D"/>
    <w:rsid w:val="00CF0392"/>
    <w:rsid w:val="00CF5C1A"/>
    <w:rsid w:val="00CF7358"/>
    <w:rsid w:val="00D006CC"/>
    <w:rsid w:val="00D00B07"/>
    <w:rsid w:val="00D00B8F"/>
    <w:rsid w:val="00D00D08"/>
    <w:rsid w:val="00D0247D"/>
    <w:rsid w:val="00D03091"/>
    <w:rsid w:val="00D0388C"/>
    <w:rsid w:val="00D049E8"/>
    <w:rsid w:val="00D11D3E"/>
    <w:rsid w:val="00D144B5"/>
    <w:rsid w:val="00D15CE5"/>
    <w:rsid w:val="00D16A36"/>
    <w:rsid w:val="00D17B76"/>
    <w:rsid w:val="00D2033C"/>
    <w:rsid w:val="00D246EB"/>
    <w:rsid w:val="00D24768"/>
    <w:rsid w:val="00D26A30"/>
    <w:rsid w:val="00D30945"/>
    <w:rsid w:val="00D329E3"/>
    <w:rsid w:val="00D3376A"/>
    <w:rsid w:val="00D44F14"/>
    <w:rsid w:val="00D54578"/>
    <w:rsid w:val="00D577DD"/>
    <w:rsid w:val="00D62A5D"/>
    <w:rsid w:val="00D63BA9"/>
    <w:rsid w:val="00D73851"/>
    <w:rsid w:val="00D77316"/>
    <w:rsid w:val="00D85047"/>
    <w:rsid w:val="00D85D0A"/>
    <w:rsid w:val="00D86189"/>
    <w:rsid w:val="00D86640"/>
    <w:rsid w:val="00D9013F"/>
    <w:rsid w:val="00D91959"/>
    <w:rsid w:val="00D91FD8"/>
    <w:rsid w:val="00D93153"/>
    <w:rsid w:val="00D951CE"/>
    <w:rsid w:val="00D97395"/>
    <w:rsid w:val="00D9798A"/>
    <w:rsid w:val="00DA5293"/>
    <w:rsid w:val="00DA5F38"/>
    <w:rsid w:val="00DA61EB"/>
    <w:rsid w:val="00DC44BE"/>
    <w:rsid w:val="00DC57C4"/>
    <w:rsid w:val="00DD26A1"/>
    <w:rsid w:val="00DE194C"/>
    <w:rsid w:val="00DE30B3"/>
    <w:rsid w:val="00DE33D5"/>
    <w:rsid w:val="00DF0E8C"/>
    <w:rsid w:val="00DF1499"/>
    <w:rsid w:val="00DF520B"/>
    <w:rsid w:val="00DF551C"/>
    <w:rsid w:val="00DF5816"/>
    <w:rsid w:val="00DF6839"/>
    <w:rsid w:val="00DF79A2"/>
    <w:rsid w:val="00E006E7"/>
    <w:rsid w:val="00E06775"/>
    <w:rsid w:val="00E10D0A"/>
    <w:rsid w:val="00E1605A"/>
    <w:rsid w:val="00E1621B"/>
    <w:rsid w:val="00E2232E"/>
    <w:rsid w:val="00E258E4"/>
    <w:rsid w:val="00E25C9D"/>
    <w:rsid w:val="00E265E0"/>
    <w:rsid w:val="00E30F1C"/>
    <w:rsid w:val="00E34262"/>
    <w:rsid w:val="00E344E0"/>
    <w:rsid w:val="00E3665F"/>
    <w:rsid w:val="00E3688D"/>
    <w:rsid w:val="00E36BC6"/>
    <w:rsid w:val="00E37514"/>
    <w:rsid w:val="00E37E3B"/>
    <w:rsid w:val="00E432F6"/>
    <w:rsid w:val="00E43BD2"/>
    <w:rsid w:val="00E44418"/>
    <w:rsid w:val="00E5455F"/>
    <w:rsid w:val="00E62015"/>
    <w:rsid w:val="00E667AB"/>
    <w:rsid w:val="00E670A3"/>
    <w:rsid w:val="00E70C5E"/>
    <w:rsid w:val="00E73311"/>
    <w:rsid w:val="00E739A7"/>
    <w:rsid w:val="00E7629A"/>
    <w:rsid w:val="00E778D0"/>
    <w:rsid w:val="00E77D13"/>
    <w:rsid w:val="00E8409B"/>
    <w:rsid w:val="00E864F1"/>
    <w:rsid w:val="00E87843"/>
    <w:rsid w:val="00E9082E"/>
    <w:rsid w:val="00E90E67"/>
    <w:rsid w:val="00E92F67"/>
    <w:rsid w:val="00E94478"/>
    <w:rsid w:val="00E94D5B"/>
    <w:rsid w:val="00E95097"/>
    <w:rsid w:val="00E97075"/>
    <w:rsid w:val="00EA2AB3"/>
    <w:rsid w:val="00EB1A40"/>
    <w:rsid w:val="00EB2694"/>
    <w:rsid w:val="00EB73C1"/>
    <w:rsid w:val="00ED2168"/>
    <w:rsid w:val="00ED22D8"/>
    <w:rsid w:val="00ED2BE8"/>
    <w:rsid w:val="00EE55C6"/>
    <w:rsid w:val="00EE77E1"/>
    <w:rsid w:val="00EF02DF"/>
    <w:rsid w:val="00EF14D2"/>
    <w:rsid w:val="00EF2A24"/>
    <w:rsid w:val="00EF41E2"/>
    <w:rsid w:val="00EF5513"/>
    <w:rsid w:val="00EF71FE"/>
    <w:rsid w:val="00F00223"/>
    <w:rsid w:val="00F00D7E"/>
    <w:rsid w:val="00F046F1"/>
    <w:rsid w:val="00F06697"/>
    <w:rsid w:val="00F12B0D"/>
    <w:rsid w:val="00F20AEE"/>
    <w:rsid w:val="00F22A7F"/>
    <w:rsid w:val="00F22F86"/>
    <w:rsid w:val="00F249A0"/>
    <w:rsid w:val="00F27998"/>
    <w:rsid w:val="00F3204F"/>
    <w:rsid w:val="00F3210B"/>
    <w:rsid w:val="00F33614"/>
    <w:rsid w:val="00F336C8"/>
    <w:rsid w:val="00F34FD3"/>
    <w:rsid w:val="00F37CAE"/>
    <w:rsid w:val="00F41760"/>
    <w:rsid w:val="00F420F2"/>
    <w:rsid w:val="00F44FBF"/>
    <w:rsid w:val="00F4534A"/>
    <w:rsid w:val="00F466F0"/>
    <w:rsid w:val="00F52B25"/>
    <w:rsid w:val="00F54F53"/>
    <w:rsid w:val="00F55A45"/>
    <w:rsid w:val="00F6180E"/>
    <w:rsid w:val="00F61952"/>
    <w:rsid w:val="00F66040"/>
    <w:rsid w:val="00F710B7"/>
    <w:rsid w:val="00F75434"/>
    <w:rsid w:val="00F8065E"/>
    <w:rsid w:val="00F8260A"/>
    <w:rsid w:val="00F84CEF"/>
    <w:rsid w:val="00F87FC1"/>
    <w:rsid w:val="00F94121"/>
    <w:rsid w:val="00F97F4D"/>
    <w:rsid w:val="00FB6022"/>
    <w:rsid w:val="00FB6A71"/>
    <w:rsid w:val="00FC1DBC"/>
    <w:rsid w:val="00FC49CC"/>
    <w:rsid w:val="00FC530B"/>
    <w:rsid w:val="00FD2807"/>
    <w:rsid w:val="00FD49EC"/>
    <w:rsid w:val="00FD7182"/>
    <w:rsid w:val="00FD7F7A"/>
    <w:rsid w:val="00FE536D"/>
    <w:rsid w:val="00FF3C3E"/>
    <w:rsid w:val="00FF4118"/>
    <w:rsid w:val="00FF6166"/>
    <w:rsid w:val="00FF7A53"/>
    <w:rsid w:val="012B3C21"/>
    <w:rsid w:val="018B8441"/>
    <w:rsid w:val="01F272B7"/>
    <w:rsid w:val="01F696D5"/>
    <w:rsid w:val="0348A863"/>
    <w:rsid w:val="037E034C"/>
    <w:rsid w:val="044030B8"/>
    <w:rsid w:val="054F800D"/>
    <w:rsid w:val="0780EE12"/>
    <w:rsid w:val="07DE726A"/>
    <w:rsid w:val="08D9DDC7"/>
    <w:rsid w:val="0A75DB2C"/>
    <w:rsid w:val="0AB245F3"/>
    <w:rsid w:val="0BDE579D"/>
    <w:rsid w:val="0C5F277D"/>
    <w:rsid w:val="0CA249C3"/>
    <w:rsid w:val="0CEE9CF0"/>
    <w:rsid w:val="0CF6DC2E"/>
    <w:rsid w:val="0D208D87"/>
    <w:rsid w:val="0D9B61D2"/>
    <w:rsid w:val="0E437E72"/>
    <w:rsid w:val="0E89C55F"/>
    <w:rsid w:val="0F54DEBE"/>
    <w:rsid w:val="0FFB69BD"/>
    <w:rsid w:val="101266E0"/>
    <w:rsid w:val="10211C9E"/>
    <w:rsid w:val="108CD726"/>
    <w:rsid w:val="122EFD0A"/>
    <w:rsid w:val="12533F3D"/>
    <w:rsid w:val="139FDA2F"/>
    <w:rsid w:val="140D5CEF"/>
    <w:rsid w:val="14947FC8"/>
    <w:rsid w:val="1496CA62"/>
    <w:rsid w:val="152E9143"/>
    <w:rsid w:val="156D4083"/>
    <w:rsid w:val="1600C723"/>
    <w:rsid w:val="1642D04A"/>
    <w:rsid w:val="16ECF240"/>
    <w:rsid w:val="170D8BF9"/>
    <w:rsid w:val="1791EF5A"/>
    <w:rsid w:val="17B2DA0B"/>
    <w:rsid w:val="18359C9E"/>
    <w:rsid w:val="18AE919D"/>
    <w:rsid w:val="19A917BB"/>
    <w:rsid w:val="1A152E58"/>
    <w:rsid w:val="1A9345A6"/>
    <w:rsid w:val="1A93B5D2"/>
    <w:rsid w:val="1B5230D4"/>
    <w:rsid w:val="1C0CAD6D"/>
    <w:rsid w:val="1CCF6051"/>
    <w:rsid w:val="1CE3BA3B"/>
    <w:rsid w:val="1CEA8AC8"/>
    <w:rsid w:val="1CFC4014"/>
    <w:rsid w:val="1D7061CD"/>
    <w:rsid w:val="1E16538C"/>
    <w:rsid w:val="1E4A95A4"/>
    <w:rsid w:val="1E65F700"/>
    <w:rsid w:val="1EE3AECD"/>
    <w:rsid w:val="2004221E"/>
    <w:rsid w:val="20C5B0F1"/>
    <w:rsid w:val="2194ABB4"/>
    <w:rsid w:val="22284CDE"/>
    <w:rsid w:val="22F10246"/>
    <w:rsid w:val="237A6DB6"/>
    <w:rsid w:val="2445A31D"/>
    <w:rsid w:val="248BEF3A"/>
    <w:rsid w:val="24C21DF4"/>
    <w:rsid w:val="24CAAC5E"/>
    <w:rsid w:val="25C19390"/>
    <w:rsid w:val="25F7A0AC"/>
    <w:rsid w:val="26F6C9D3"/>
    <w:rsid w:val="2704ED37"/>
    <w:rsid w:val="278D2D56"/>
    <w:rsid w:val="283F86C7"/>
    <w:rsid w:val="292030AE"/>
    <w:rsid w:val="299AA2CE"/>
    <w:rsid w:val="2BFF30EE"/>
    <w:rsid w:val="2C0B6D03"/>
    <w:rsid w:val="2C8C24E4"/>
    <w:rsid w:val="2CFEBC90"/>
    <w:rsid w:val="2D2B84C8"/>
    <w:rsid w:val="2E0D9415"/>
    <w:rsid w:val="2ECD68F3"/>
    <w:rsid w:val="2F187824"/>
    <w:rsid w:val="2F3302DA"/>
    <w:rsid w:val="2F51A1A6"/>
    <w:rsid w:val="2FA811F5"/>
    <w:rsid w:val="3100C449"/>
    <w:rsid w:val="310542DB"/>
    <w:rsid w:val="3159D3B6"/>
    <w:rsid w:val="327CE60B"/>
    <w:rsid w:val="32BC7509"/>
    <w:rsid w:val="32EC41CA"/>
    <w:rsid w:val="33662307"/>
    <w:rsid w:val="33873B3A"/>
    <w:rsid w:val="3480767A"/>
    <w:rsid w:val="3592793C"/>
    <w:rsid w:val="359904E9"/>
    <w:rsid w:val="36615892"/>
    <w:rsid w:val="37B3E940"/>
    <w:rsid w:val="37E0A599"/>
    <w:rsid w:val="3867F943"/>
    <w:rsid w:val="38FB2744"/>
    <w:rsid w:val="3A086353"/>
    <w:rsid w:val="3A187AC6"/>
    <w:rsid w:val="3B7819B7"/>
    <w:rsid w:val="3D34315F"/>
    <w:rsid w:val="3DB89B61"/>
    <w:rsid w:val="3E4F0F38"/>
    <w:rsid w:val="3F3BCBAB"/>
    <w:rsid w:val="3F7AE7EB"/>
    <w:rsid w:val="4009E40A"/>
    <w:rsid w:val="4011E8A6"/>
    <w:rsid w:val="40D50AE8"/>
    <w:rsid w:val="414424E6"/>
    <w:rsid w:val="41F04094"/>
    <w:rsid w:val="4276B1EB"/>
    <w:rsid w:val="432FEBE4"/>
    <w:rsid w:val="44327C2D"/>
    <w:rsid w:val="44686CAD"/>
    <w:rsid w:val="45496FC7"/>
    <w:rsid w:val="45621E45"/>
    <w:rsid w:val="46615A25"/>
    <w:rsid w:val="467D22B2"/>
    <w:rsid w:val="4709BEBA"/>
    <w:rsid w:val="4816A9C9"/>
    <w:rsid w:val="4837ABF8"/>
    <w:rsid w:val="48B675AA"/>
    <w:rsid w:val="49530BF4"/>
    <w:rsid w:val="4BD5484E"/>
    <w:rsid w:val="4D016C5F"/>
    <w:rsid w:val="4ED7782E"/>
    <w:rsid w:val="4F4EB394"/>
    <w:rsid w:val="50264806"/>
    <w:rsid w:val="512B1F16"/>
    <w:rsid w:val="5294EB9D"/>
    <w:rsid w:val="52B6F1E8"/>
    <w:rsid w:val="52F7A526"/>
    <w:rsid w:val="53B1B360"/>
    <w:rsid w:val="54CF2C43"/>
    <w:rsid w:val="5582DA31"/>
    <w:rsid w:val="55E34C68"/>
    <w:rsid w:val="563B959D"/>
    <w:rsid w:val="5676E888"/>
    <w:rsid w:val="56D0CE14"/>
    <w:rsid w:val="56F7A11F"/>
    <w:rsid w:val="580F0724"/>
    <w:rsid w:val="58808C16"/>
    <w:rsid w:val="5890D4B7"/>
    <w:rsid w:val="58B3F91F"/>
    <w:rsid w:val="5A9EACB8"/>
    <w:rsid w:val="5C50F3CD"/>
    <w:rsid w:val="5CC006B1"/>
    <w:rsid w:val="5E555596"/>
    <w:rsid w:val="5E55BBB7"/>
    <w:rsid w:val="5EDDFCC5"/>
    <w:rsid w:val="5F931023"/>
    <w:rsid w:val="60A4C211"/>
    <w:rsid w:val="622196CE"/>
    <w:rsid w:val="625BFABB"/>
    <w:rsid w:val="62970A20"/>
    <w:rsid w:val="62D7BD18"/>
    <w:rsid w:val="6358B9FA"/>
    <w:rsid w:val="63702395"/>
    <w:rsid w:val="648F2A8B"/>
    <w:rsid w:val="652FD59D"/>
    <w:rsid w:val="65490FA8"/>
    <w:rsid w:val="65C6F81A"/>
    <w:rsid w:val="65F3FFF2"/>
    <w:rsid w:val="663F1D89"/>
    <w:rsid w:val="669992C5"/>
    <w:rsid w:val="66BB7FB9"/>
    <w:rsid w:val="66C42A1C"/>
    <w:rsid w:val="6773A885"/>
    <w:rsid w:val="6881112C"/>
    <w:rsid w:val="6892B343"/>
    <w:rsid w:val="6981793F"/>
    <w:rsid w:val="698F4217"/>
    <w:rsid w:val="69CF532E"/>
    <w:rsid w:val="6B0DD3DC"/>
    <w:rsid w:val="6BAFB3AB"/>
    <w:rsid w:val="6C631180"/>
    <w:rsid w:val="6D3AB091"/>
    <w:rsid w:val="6D6D82F4"/>
    <w:rsid w:val="6E73274E"/>
    <w:rsid w:val="6F080041"/>
    <w:rsid w:val="6FAC3FD6"/>
    <w:rsid w:val="704FC34F"/>
    <w:rsid w:val="7105F5C2"/>
    <w:rsid w:val="7179A1A3"/>
    <w:rsid w:val="71C1808D"/>
    <w:rsid w:val="71F710A3"/>
    <w:rsid w:val="7200BBB2"/>
    <w:rsid w:val="72079369"/>
    <w:rsid w:val="72919407"/>
    <w:rsid w:val="73295B8A"/>
    <w:rsid w:val="766D0514"/>
    <w:rsid w:val="77B4E951"/>
    <w:rsid w:val="7822A510"/>
    <w:rsid w:val="78292C81"/>
    <w:rsid w:val="7860CCEC"/>
    <w:rsid w:val="78AB399C"/>
    <w:rsid w:val="7962F943"/>
    <w:rsid w:val="79F8AD83"/>
    <w:rsid w:val="7CB8FEDF"/>
    <w:rsid w:val="7D83B808"/>
    <w:rsid w:val="7D933236"/>
    <w:rsid w:val="7E28DEDC"/>
    <w:rsid w:val="7FDF27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3841E"/>
  <w15:chartTrackingRefBased/>
  <w15:docId w15:val="{8684A1D6-CEAC-4836-9947-7EABEE800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ED2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ED2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ED2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ED2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ED2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ED2B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ED2B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ED2BE8"/>
    <w:pPr>
      <w:keepNext/>
      <w:keepLines/>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ED2B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styleId="ListParagraph">
    <w:name w:val="List Paragraph"/>
    <w:basedOn w:val="Normal"/>
    <w:uiPriority w:val="34"/>
    <w:qFormat/>
    <w:rsid w:val="00ED2BE8"/>
    <w:pPr>
      <w:ind w:left="720"/>
      <w:contextualSpacing/>
    </w:pPr>
  </w:style>
  <w:style w:type="character" w:styleId="IntenseEmphasis">
    <w:name w:val="Intense Emphasis"/>
    <w:basedOn w:val="DefaultParagraphFont"/>
    <w:uiPriority w:val="21"/>
    <w:qFormat/>
    <w:rsid w:val="00ED2BE8"/>
    <w:rPr>
      <w:i/>
      <w:iCs/>
      <w:color w:val="0F4761" w:themeColor="accent1" w:themeShade="BF"/>
    </w:rPr>
  </w:style>
  <w:style w:type="character" w:styleId="IntenseReference">
    <w:name w:val="Intense Reference"/>
    <w:basedOn w:val="DefaultParagraphFont"/>
    <w:uiPriority w:val="32"/>
    <w:qFormat/>
    <w:rsid w:val="00ED2BE8"/>
    <w:rPr>
      <w:b/>
      <w:bCs/>
      <w:smallCaps/>
      <w:color w:val="0F4761" w:themeColor="accent1" w:themeShade="BF"/>
      <w:spacing w:val="5"/>
    </w:rPr>
  </w:style>
  <w:style w:type="paragraph" w:styleId="NormalWeb">
    <w:name w:val="Normal (Web)"/>
    <w:basedOn w:val="Normal"/>
    <w:uiPriority w:val="99"/>
    <w:unhideWhenUsed/>
    <w:rsid w:val="00C020F2"/>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Bibliografa1">
    <w:name w:val="Bibliografía1"/>
    <w:basedOn w:val="Normal"/>
    <w:link w:val="BibliographyCar"/>
    <w:rsid w:val="00B4070A"/>
    <w:pPr>
      <w:tabs>
        <w:tab w:val="left" w:pos="260"/>
      </w:tabs>
      <w:spacing w:after="240"/>
      <w:ind w:left="264" w:hanging="264"/>
      <w:jc w:val="both"/>
    </w:pPr>
    <w:rPr>
      <w:rFonts w:ascii="Times New Roman" w:hAnsi="Times New Roman" w:cs="Times New Roman"/>
      <w:lang w:val="en-GB"/>
    </w:rPr>
  </w:style>
  <w:style w:type="character" w:customStyle="1" w:styleId="BibliographyCar">
    <w:name w:val="Bibliography Car"/>
    <w:basedOn w:val="DefaultParagraphFont"/>
    <w:link w:val="Bibliografa1"/>
    <w:rsid w:val="00B4070A"/>
    <w:rPr>
      <w:rFonts w:ascii="Times New Roman" w:hAnsi="Times New Roman" w:cs="Times New Roman"/>
      <w:lang w:val="en-GB"/>
    </w:rPr>
  </w:style>
  <w:style w:type="character" w:customStyle="1" w:styleId="Ttulo1Car">
    <w:name w:val="Título 1 Car"/>
    <w:basedOn w:val="DefaultParagraphFont"/>
    <w:uiPriority w:val="9"/>
    <w:rsid w:val="00C745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DefaultParagraphFont"/>
    <w:uiPriority w:val="9"/>
    <w:semiHidden/>
    <w:rsid w:val="00C745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DefaultParagraphFont"/>
    <w:uiPriority w:val="9"/>
    <w:semiHidden/>
    <w:rsid w:val="00C7459A"/>
    <w:rPr>
      <w:rFonts w:eastAsiaTheme="majorEastAsia" w:cstheme="majorBidi"/>
      <w:color w:val="0F4761" w:themeColor="accent1" w:themeShade="BF"/>
      <w:sz w:val="28"/>
      <w:szCs w:val="28"/>
    </w:rPr>
  </w:style>
  <w:style w:type="character" w:customStyle="1" w:styleId="Ttulo4Car">
    <w:name w:val="Título 4 Car"/>
    <w:basedOn w:val="DefaultParagraphFont"/>
    <w:uiPriority w:val="9"/>
    <w:semiHidden/>
    <w:rsid w:val="00C7459A"/>
    <w:rPr>
      <w:rFonts w:eastAsiaTheme="majorEastAsia" w:cstheme="majorBidi"/>
      <w:i/>
      <w:iCs/>
      <w:color w:val="0F4761" w:themeColor="accent1" w:themeShade="BF"/>
    </w:rPr>
  </w:style>
  <w:style w:type="character" w:customStyle="1" w:styleId="Ttulo5Car">
    <w:name w:val="Título 5 Car"/>
    <w:basedOn w:val="DefaultParagraphFont"/>
    <w:uiPriority w:val="9"/>
    <w:semiHidden/>
    <w:rsid w:val="00C7459A"/>
    <w:rPr>
      <w:rFonts w:eastAsiaTheme="majorEastAsia" w:cstheme="majorBidi"/>
      <w:color w:val="0F4761" w:themeColor="accent1" w:themeShade="BF"/>
    </w:rPr>
  </w:style>
  <w:style w:type="character" w:customStyle="1" w:styleId="Ttulo6Car">
    <w:name w:val="Título 6 Car"/>
    <w:basedOn w:val="DefaultParagraphFont"/>
    <w:uiPriority w:val="9"/>
    <w:semiHidden/>
    <w:rsid w:val="00C7459A"/>
    <w:rPr>
      <w:rFonts w:eastAsiaTheme="majorEastAsia" w:cstheme="majorBidi"/>
      <w:i/>
      <w:iCs/>
      <w:color w:val="595959" w:themeColor="text1" w:themeTint="A6"/>
    </w:rPr>
  </w:style>
  <w:style w:type="character" w:customStyle="1" w:styleId="Ttulo7Car">
    <w:name w:val="Título 7 Car"/>
    <w:basedOn w:val="DefaultParagraphFont"/>
    <w:uiPriority w:val="9"/>
    <w:semiHidden/>
    <w:rsid w:val="00C7459A"/>
    <w:rPr>
      <w:rFonts w:eastAsiaTheme="majorEastAsia" w:cstheme="majorBidi"/>
      <w:color w:val="595959" w:themeColor="text1" w:themeTint="A6"/>
    </w:rPr>
  </w:style>
  <w:style w:type="character" w:customStyle="1" w:styleId="Ttulo8Car">
    <w:name w:val="Título 8 Car"/>
    <w:basedOn w:val="DefaultParagraphFont"/>
    <w:uiPriority w:val="9"/>
    <w:semiHidden/>
    <w:rsid w:val="00C7459A"/>
    <w:rPr>
      <w:rFonts w:eastAsiaTheme="majorEastAsia" w:cstheme="majorBidi"/>
      <w:i/>
      <w:iCs/>
      <w:color w:val="272727" w:themeColor="text1" w:themeTint="D8"/>
    </w:rPr>
  </w:style>
  <w:style w:type="character" w:customStyle="1" w:styleId="Ttulo9Car">
    <w:name w:val="Título 9 Car"/>
    <w:basedOn w:val="DefaultParagraphFont"/>
    <w:uiPriority w:val="9"/>
    <w:semiHidden/>
    <w:rsid w:val="00C7459A"/>
    <w:rPr>
      <w:rFonts w:eastAsiaTheme="majorEastAsia" w:cstheme="majorBidi"/>
      <w:color w:val="272727" w:themeColor="text1" w:themeTint="D8"/>
    </w:rPr>
  </w:style>
  <w:style w:type="character" w:customStyle="1" w:styleId="TtuloCar">
    <w:name w:val="Título Car"/>
    <w:basedOn w:val="DefaultParagraphFont"/>
    <w:uiPriority w:val="10"/>
    <w:rsid w:val="00C7459A"/>
    <w:rPr>
      <w:rFonts w:asciiTheme="majorHAnsi" w:eastAsiaTheme="majorEastAsia" w:hAnsiTheme="majorHAnsi" w:cstheme="majorBidi"/>
      <w:spacing w:val="-10"/>
      <w:kern w:val="28"/>
      <w:sz w:val="56"/>
      <w:szCs w:val="56"/>
    </w:rPr>
  </w:style>
  <w:style w:type="character" w:customStyle="1" w:styleId="SubttuloCar">
    <w:name w:val="Subtítulo Car"/>
    <w:basedOn w:val="DefaultParagraphFont"/>
    <w:uiPriority w:val="11"/>
    <w:rsid w:val="00C7459A"/>
    <w:rPr>
      <w:rFonts w:eastAsiaTheme="majorEastAsia" w:cstheme="majorBidi"/>
      <w:color w:val="595959" w:themeColor="text1" w:themeTint="A6"/>
      <w:spacing w:val="15"/>
      <w:sz w:val="28"/>
      <w:szCs w:val="28"/>
    </w:rPr>
  </w:style>
  <w:style w:type="character" w:customStyle="1" w:styleId="CitaCar">
    <w:name w:val="Cita Car"/>
    <w:basedOn w:val="DefaultParagraphFont"/>
    <w:uiPriority w:val="29"/>
    <w:rsid w:val="00C7459A"/>
    <w:rPr>
      <w:i/>
      <w:iCs/>
      <w:color w:val="404040" w:themeColor="text1" w:themeTint="BF"/>
    </w:rPr>
  </w:style>
  <w:style w:type="character" w:customStyle="1" w:styleId="CitadestacadaCar">
    <w:name w:val="Cita destacada Car"/>
    <w:basedOn w:val="DefaultParagraphFont"/>
    <w:uiPriority w:val="30"/>
    <w:rsid w:val="00C7459A"/>
    <w:rPr>
      <w:i/>
      <w:iCs/>
      <w:color w:val="0F4761" w:themeColor="accent1" w:themeShade="BF"/>
    </w:rPr>
  </w:style>
  <w:style w:type="paragraph" w:styleId="CommentText">
    <w:name w:val="annotation text"/>
    <w:basedOn w:val="Normal"/>
    <w:link w:val="CommentTextChar"/>
    <w:uiPriority w:val="99"/>
    <w:semiHidden/>
    <w:unhideWhenUsed/>
    <w:rsid w:val="004713DE"/>
    <w:rPr>
      <w:sz w:val="20"/>
      <w:szCs w:val="20"/>
    </w:rPr>
  </w:style>
  <w:style w:type="character" w:customStyle="1" w:styleId="CommentTextChar">
    <w:name w:val="Comment Text Char"/>
    <w:basedOn w:val="DefaultParagraphFont"/>
    <w:link w:val="CommentText"/>
    <w:uiPriority w:val="99"/>
    <w:semiHidden/>
    <w:rsid w:val="004713DE"/>
    <w:rPr>
      <w:sz w:val="20"/>
      <w:szCs w:val="20"/>
    </w:rPr>
  </w:style>
  <w:style w:type="character" w:styleId="CommentReference">
    <w:name w:val="annotation reference"/>
    <w:basedOn w:val="DefaultParagraphFont"/>
    <w:uiPriority w:val="99"/>
    <w:semiHidden/>
    <w:unhideWhenUsed/>
    <w:rsid w:val="004713DE"/>
    <w:rPr>
      <w:sz w:val="16"/>
      <w:szCs w:val="16"/>
    </w:rPr>
  </w:style>
  <w:style w:type="character" w:styleId="Hyperlink">
    <w:name w:val="Hyperlink"/>
    <w:basedOn w:val="DefaultParagraphFont"/>
    <w:uiPriority w:val="99"/>
    <w:unhideWhenUsed/>
    <w:rsid w:val="00E265E0"/>
    <w:rPr>
      <w:color w:val="467886" w:themeColor="hyperlink"/>
      <w:u w:val="single"/>
    </w:rPr>
  </w:style>
  <w:style w:type="character" w:styleId="UnresolvedMention">
    <w:name w:val="Unresolved Mention"/>
    <w:basedOn w:val="DefaultParagraphFont"/>
    <w:uiPriority w:val="99"/>
    <w:semiHidden/>
    <w:unhideWhenUsed/>
    <w:rsid w:val="00E265E0"/>
    <w:rPr>
      <w:color w:val="605E5C"/>
      <w:shd w:val="clear" w:color="auto" w:fill="E1DFDD"/>
    </w:rPr>
  </w:style>
  <w:style w:type="paragraph" w:styleId="Header">
    <w:name w:val="header"/>
    <w:basedOn w:val="Normal"/>
    <w:link w:val="HeaderChar"/>
    <w:uiPriority w:val="99"/>
    <w:unhideWhenUsed/>
    <w:rsid w:val="00BC12CD"/>
    <w:pPr>
      <w:tabs>
        <w:tab w:val="center" w:pos="4419"/>
        <w:tab w:val="right" w:pos="8838"/>
      </w:tabs>
    </w:pPr>
  </w:style>
  <w:style w:type="character" w:customStyle="1" w:styleId="HeaderChar">
    <w:name w:val="Header Char"/>
    <w:basedOn w:val="DefaultParagraphFont"/>
    <w:link w:val="Header"/>
    <w:uiPriority w:val="99"/>
    <w:rsid w:val="00BC12CD"/>
  </w:style>
  <w:style w:type="paragraph" w:styleId="Footer">
    <w:name w:val="footer"/>
    <w:basedOn w:val="Normal"/>
    <w:link w:val="FooterChar"/>
    <w:uiPriority w:val="99"/>
    <w:unhideWhenUsed/>
    <w:rsid w:val="00BC12CD"/>
    <w:pPr>
      <w:tabs>
        <w:tab w:val="center" w:pos="4419"/>
        <w:tab w:val="right" w:pos="8838"/>
      </w:tabs>
    </w:pPr>
  </w:style>
  <w:style w:type="character" w:customStyle="1" w:styleId="FooterChar">
    <w:name w:val="Footer Char"/>
    <w:basedOn w:val="DefaultParagraphFont"/>
    <w:link w:val="Footer"/>
    <w:uiPriority w:val="99"/>
    <w:rsid w:val="00BC12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lucila.castro@udlap.mx" TargetMode="External"/><Relationship Id="rId12" Type="http://schemas.openxmlformats.org/officeDocument/2006/relationships/hyperlink" Target="https://publications.gc.ca/collections/collection_2024/statcan/91-215-x2023002-eng.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anada.ca/en/health-canada/services/drugs-health-products/medeffect-canada/adverse-reaction-database/canada-vigilance-adverse-reaction-online-database-data-structures.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ouvert.canada.ca/data/dataset/6acff169-8026-47ef-abec-3ec34e0b02fa?utm_source=chatgpt.com" TargetMode="External"/><Relationship Id="rId4" Type="http://schemas.openxmlformats.org/officeDocument/2006/relationships/webSettings" Target="webSettings.xml"/><Relationship Id="rId9" Type="http://schemas.openxmlformats.org/officeDocument/2006/relationships/hyperlink" Target="https://open.canada.ca/data/dataset/6acff169-8026-47ef-abec-3ec34e0b02fa" TargetMode="External"/><Relationship Id="rId14" Type="http://schemas.openxmlformats.org/officeDocument/2006/relationships/hyperlink" Target="https://github.com/heritaco/Cephalosporin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3519</Words>
  <Characters>22810</Characters>
  <Application>Microsoft Office Word</Application>
  <DocSecurity>0</DocSecurity>
  <Lines>382</Lines>
  <Paragraphs>97</Paragraphs>
  <ScaleCrop>false</ScaleCrop>
  <Company/>
  <LinksUpToDate>false</LinksUpToDate>
  <CharactersWithSpaces>26266</CharactersWithSpaces>
  <SharedDoc>false</SharedDoc>
  <HLinks>
    <vt:vector size="84" baseType="variant">
      <vt:variant>
        <vt:i4>3080251</vt:i4>
      </vt:variant>
      <vt:variant>
        <vt:i4>69</vt:i4>
      </vt:variant>
      <vt:variant>
        <vt:i4>0</vt:i4>
      </vt:variant>
      <vt:variant>
        <vt:i4>5</vt:i4>
      </vt:variant>
      <vt:variant>
        <vt:lpwstr>https://github.com/heritaco/Cephalosporines</vt:lpwstr>
      </vt:variant>
      <vt:variant>
        <vt:lpwstr/>
      </vt:variant>
      <vt:variant>
        <vt:i4>4063302</vt:i4>
      </vt:variant>
      <vt:variant>
        <vt:i4>66</vt:i4>
      </vt:variant>
      <vt:variant>
        <vt:i4>0</vt:i4>
      </vt:variant>
      <vt:variant>
        <vt:i4>5</vt:i4>
      </vt:variant>
      <vt:variant>
        <vt:lpwstr>https://www.phac-aspc.gc.ca/cipars-picra/2009/pdf/2009pr-eng.pdf?utm_source=chatgpt.com</vt:lpwstr>
      </vt:variant>
      <vt:variant>
        <vt:lpwstr/>
      </vt:variant>
      <vt:variant>
        <vt:i4>5439576</vt:i4>
      </vt:variant>
      <vt:variant>
        <vt:i4>63</vt:i4>
      </vt:variant>
      <vt:variant>
        <vt:i4>0</vt:i4>
      </vt:variant>
      <vt:variant>
        <vt:i4>5</vt:i4>
      </vt:variant>
      <vt:variant>
        <vt:lpwstr>https://www.phac-aspc.gc.ca/cipars-picra/2009/pdf/2009pr-eng.pdf</vt:lpwstr>
      </vt:variant>
      <vt:variant>
        <vt:lpwstr/>
      </vt:variant>
      <vt:variant>
        <vt:i4>5242961</vt:i4>
      </vt:variant>
      <vt:variant>
        <vt:i4>60</vt:i4>
      </vt:variant>
      <vt:variant>
        <vt:i4>0</vt:i4>
      </vt:variant>
      <vt:variant>
        <vt:i4>5</vt:i4>
      </vt:variant>
      <vt:variant>
        <vt:lpwstr>https://health-infobase.canada.ca/carss/</vt:lpwstr>
      </vt:variant>
      <vt:variant>
        <vt:lpwstr/>
      </vt:variant>
      <vt:variant>
        <vt:i4>4063256</vt:i4>
      </vt:variant>
      <vt:variant>
        <vt:i4>57</vt:i4>
      </vt:variant>
      <vt:variant>
        <vt:i4>0</vt:i4>
      </vt:variant>
      <vt:variant>
        <vt:i4>5</vt:i4>
      </vt:variant>
      <vt:variant>
        <vt:lpwstr>https://www.canada.ca/en/public-health/services/publications/drugs-health-products/canadian-antimicrobial-resistance-surveillance-system-2020-report.html?utm_source=chatgpt.com</vt:lpwstr>
      </vt:variant>
      <vt:variant>
        <vt:lpwstr/>
      </vt:variant>
      <vt:variant>
        <vt:i4>6619254</vt:i4>
      </vt:variant>
      <vt:variant>
        <vt:i4>54</vt:i4>
      </vt:variant>
      <vt:variant>
        <vt:i4>0</vt:i4>
      </vt:variant>
      <vt:variant>
        <vt:i4>5</vt:i4>
      </vt:variant>
      <vt:variant>
        <vt:lpwstr>https://www.cahss.ca/CAHSS/Assets/Documents/CARSS-2020-Canadian-Antimicrobial-Resistance-Surveillance-System-Report-eng.pdf</vt:lpwstr>
      </vt:variant>
      <vt:variant>
        <vt:lpwstr/>
      </vt:variant>
      <vt:variant>
        <vt:i4>2097226</vt:i4>
      </vt:variant>
      <vt:variant>
        <vt:i4>51</vt:i4>
      </vt:variant>
      <vt:variant>
        <vt:i4>0</vt:i4>
      </vt:variant>
      <vt:variant>
        <vt:i4>5</vt:i4>
      </vt:variant>
      <vt:variant>
        <vt:lpwstr>https://publications.gc.ca/site/archivee-archived.html?url=https%3A%2F%2Fpublications.gc.ca%2Fcollections%2Fcollection_2024%2Fstatcan%2F91-215-x2023002-eng.pdf</vt:lpwstr>
      </vt:variant>
      <vt:variant>
        <vt:lpwstr/>
      </vt:variant>
      <vt:variant>
        <vt:i4>131174</vt:i4>
      </vt:variant>
      <vt:variant>
        <vt:i4>48</vt:i4>
      </vt:variant>
      <vt:variant>
        <vt:i4>0</vt:i4>
      </vt:variant>
      <vt:variant>
        <vt:i4>5</vt:i4>
      </vt:variant>
      <vt:variant>
        <vt:lpwstr>https://publications.gc.ca/collections/collection_2024/statcan/91-215-x2023002-eng.pdf</vt:lpwstr>
      </vt:variant>
      <vt:variant>
        <vt:lpwstr/>
      </vt:variant>
      <vt:variant>
        <vt:i4>5636129</vt:i4>
      </vt:variant>
      <vt:variant>
        <vt:i4>45</vt:i4>
      </vt:variant>
      <vt:variant>
        <vt:i4>0</vt:i4>
      </vt:variant>
      <vt:variant>
        <vt:i4>5</vt:i4>
      </vt:variant>
      <vt:variant>
        <vt:lpwstr>https://www.canada.ca/en/health-canada/services/drugs-health-products/medeffect-canada/adverse-reaction-database/canada-vigilance-adverse-reaction-online-database-data-structures.html?utm_source=chatgpt.com</vt:lpwstr>
      </vt:variant>
      <vt:variant>
        <vt:lpwstr/>
      </vt:variant>
      <vt:variant>
        <vt:i4>2424864</vt:i4>
      </vt:variant>
      <vt:variant>
        <vt:i4>42</vt:i4>
      </vt:variant>
      <vt:variant>
        <vt:i4>0</vt:i4>
      </vt:variant>
      <vt:variant>
        <vt:i4>5</vt:i4>
      </vt:variant>
      <vt:variant>
        <vt:lpwstr>https://www.canada.ca/en/health-canada/services/drugs-health-products/medeffect-canada/adverse-reaction-database/canada-vigilance-adverse-reaction-online-database-data-structures.html</vt:lpwstr>
      </vt:variant>
      <vt:variant>
        <vt:lpwstr/>
      </vt:variant>
      <vt:variant>
        <vt:i4>1638512</vt:i4>
      </vt:variant>
      <vt:variant>
        <vt:i4>39</vt:i4>
      </vt:variant>
      <vt:variant>
        <vt:i4>0</vt:i4>
      </vt:variant>
      <vt:variant>
        <vt:i4>5</vt:i4>
      </vt:variant>
      <vt:variant>
        <vt:lpwstr>https://ouvert.canada.ca/data/dataset/6acff169-8026-47ef-abec-3ec34e0b02fa?utm_source=chatgpt.com</vt:lpwstr>
      </vt:variant>
      <vt:variant>
        <vt:lpwstr/>
      </vt:variant>
      <vt:variant>
        <vt:i4>917519</vt:i4>
      </vt:variant>
      <vt:variant>
        <vt:i4>36</vt:i4>
      </vt:variant>
      <vt:variant>
        <vt:i4>0</vt:i4>
      </vt:variant>
      <vt:variant>
        <vt:i4>5</vt:i4>
      </vt:variant>
      <vt:variant>
        <vt:lpwstr>https://open.canada.ca/data/dataset/6acff169-8026-47ef-abec-3ec34e0b02fa</vt:lpwstr>
      </vt:variant>
      <vt:variant>
        <vt:lpwstr/>
      </vt:variant>
      <vt:variant>
        <vt:i4>5308478</vt:i4>
      </vt:variant>
      <vt:variant>
        <vt:i4>3</vt:i4>
      </vt:variant>
      <vt:variant>
        <vt:i4>0</vt:i4>
      </vt:variant>
      <vt:variant>
        <vt:i4>5</vt:i4>
      </vt:variant>
      <vt:variant>
        <vt:lpwstr>mailto:lucila.castro@udlap.mx</vt:lpwstr>
      </vt:variant>
      <vt:variant>
        <vt:lpwstr/>
      </vt:variant>
      <vt:variant>
        <vt:i4>1441896</vt:i4>
      </vt:variant>
      <vt:variant>
        <vt:i4>0</vt:i4>
      </vt:variant>
      <vt:variant>
        <vt:i4>0</vt:i4>
      </vt:variant>
      <vt:variant>
        <vt:i4>5</vt:i4>
      </vt:variant>
      <vt:variant>
        <vt:lpwstr>mailto:paulina.becerravo@udlap.mx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Alonso Martinez Thomas</dc:creator>
  <cp:keywords/>
  <dc:description/>
  <cp:lastModifiedBy>Heriberto Espino Montelongo</cp:lastModifiedBy>
  <cp:revision>3</cp:revision>
  <cp:lastPrinted>2025-11-15T01:53:00Z</cp:lastPrinted>
  <dcterms:created xsi:type="dcterms:W3CDTF">2025-12-02T01:08:00Z</dcterms:created>
  <dcterms:modified xsi:type="dcterms:W3CDTF">2025-12-02T01:08:00Z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id="kEomF7hz"/&gt;&lt;style id="http://www.zotero.org/styles/vancouver" locale="en-GB" hasBibliography="1" bibliographyStyleHasBeenSet="1"/&gt;&lt;prefs&gt;&lt;pref name="fieldType" value="Field"/&gt;&lt;/prefs&gt;&lt;/data&gt;</vt:lpwstr>
  </property>
</Properties>
</file>