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EA58B" w14:textId="77777777" w:rsidR="00C04C14" w:rsidRDefault="00000000">
      <w:pPr>
        <w:pStyle w:val="BATitle"/>
      </w:pPr>
      <w:r>
        <w:t>Assessment of Ligand Stability and Binding Enhancement in the D2 Receptor-Eticlopride Complex</w:t>
      </w:r>
    </w:p>
    <w:p w14:paraId="42D19838" w14:textId="77777777" w:rsidR="00C04C14" w:rsidRPr="00A20413" w:rsidRDefault="00000000">
      <w:pPr>
        <w:pStyle w:val="BBAuthorName"/>
        <w:rPr>
          <w:lang w:val="es-ES"/>
        </w:rPr>
      </w:pPr>
      <w:r w:rsidRPr="00A20413">
        <w:rPr>
          <w:lang w:val="es-ES"/>
        </w:rPr>
        <w:t>Nuria Bosch, Maria Pau Pijoan, Marta Sotelo, Nahia Urra, Diego Vicente, Pau Villén</w:t>
      </w:r>
    </w:p>
    <w:p w14:paraId="7DC96432" w14:textId="77777777" w:rsidR="00C04C14" w:rsidRDefault="00000000">
      <w:pPr>
        <w:pStyle w:val="BGKeywords"/>
      </w:pPr>
      <w:r>
        <w:t>KEYWORDS Dopamine D2 receptor; eticlopride; molecular dynamics; ligand optimization; ligand-receptor interactions; steered molecular dynamics; binding stability</w:t>
      </w:r>
    </w:p>
    <w:p w14:paraId="3215D9C9" w14:textId="77777777" w:rsidR="00C04C14" w:rsidRDefault="00C04C14">
      <w:pPr>
        <w:pBdr>
          <w:bottom w:val="single" w:sz="4" w:space="1" w:color="000000"/>
        </w:pBdr>
        <w:spacing w:after="240"/>
        <w:rPr>
          <w:rFonts w:ascii="Arno Pro" w:hAnsi="Arno Pro"/>
        </w:rPr>
      </w:pPr>
    </w:p>
    <w:p w14:paraId="0B50C52C" w14:textId="77777777" w:rsidR="00C04C14" w:rsidRDefault="00C04C14">
      <w:pPr>
        <w:sectPr w:rsidR="00C04C14">
          <w:footerReference w:type="even" r:id="rId6"/>
          <w:footerReference w:type="default" r:id="rId7"/>
          <w:footerReference w:type="first" r:id="rId8"/>
          <w:pgSz w:w="12240" w:h="15840"/>
          <w:pgMar w:top="720" w:right="1094" w:bottom="777" w:left="1094" w:header="0" w:footer="720" w:gutter="0"/>
          <w:cols w:space="720"/>
          <w:formProt w:val="0"/>
          <w:titlePg/>
          <w:docGrid w:linePitch="600" w:charSpace="32768"/>
        </w:sectPr>
      </w:pPr>
    </w:p>
    <w:p w14:paraId="34A8D199" w14:textId="77777777" w:rsidR="00C04C14" w:rsidRDefault="00C04C14"/>
    <w:p w14:paraId="4B7D9F4A" w14:textId="77777777" w:rsidR="00C04C14" w:rsidRDefault="00C04C14">
      <w:pPr>
        <w:sectPr w:rsidR="00C04C14">
          <w:type w:val="continuous"/>
          <w:pgSz w:w="12240" w:h="15840"/>
          <w:pgMar w:top="720" w:right="1094" w:bottom="777" w:left="1094" w:header="0" w:footer="720" w:gutter="0"/>
          <w:cols w:space="720"/>
          <w:formProt w:val="0"/>
          <w:titlePg/>
          <w:docGrid w:linePitch="600" w:charSpace="32768"/>
        </w:sectPr>
      </w:pPr>
    </w:p>
    <w:p w14:paraId="3254B2FD" w14:textId="77777777" w:rsidR="00B13E93" w:rsidRDefault="00000000" w:rsidP="00A20413">
      <w:pPr>
        <w:pStyle w:val="TAMainText"/>
      </w:pPr>
      <w:r>
        <w:rPr>
          <w:b/>
        </w:rPr>
        <w:t>INTRODUCTION</w:t>
      </w:r>
      <w:r>
        <w:t xml:space="preserve">. </w:t>
      </w:r>
    </w:p>
    <w:p w14:paraId="3B4AC575" w14:textId="6B0D5570" w:rsidR="00A20413" w:rsidRDefault="00A20413" w:rsidP="00A20413">
      <w:pPr>
        <w:pStyle w:val="TAMainText"/>
      </w:pPr>
      <w:r>
        <w:t>The dopamine D2 receptor (D2R) is an important G protein-coupled receptor involved in the regulation of several neurological processes [1]. It plays a key role in dopamine signaling and is associated with disorders such as schizophrenia and Parkinson's disease [</w:t>
      </w:r>
      <w:r w:rsidR="00D37721">
        <w:t>2</w:t>
      </w:r>
      <w:r>
        <w:t xml:space="preserve">, </w:t>
      </w:r>
      <w:r w:rsidR="00D37721">
        <w:t>3</w:t>
      </w:r>
      <w:r>
        <w:t>]. Because of this, D2R is a common target in drug discovery and pharmaceutical research [</w:t>
      </w:r>
      <w:r w:rsidR="00D37721">
        <w:t>2</w:t>
      </w:r>
      <w:r w:rsidR="00B13E93">
        <w:t>]</w:t>
      </w:r>
      <w:r>
        <w:t>.</w:t>
      </w:r>
    </w:p>
    <w:p w14:paraId="3E85E15C" w14:textId="6375024B" w:rsidR="00A20413" w:rsidRDefault="00A20413" w:rsidP="00A20413">
      <w:pPr>
        <w:pStyle w:val="TAMainText"/>
      </w:pPr>
      <w:r>
        <w:t>Eticlopride is a well-known antagonist of the dopamine D2 receptor [</w:t>
      </w:r>
      <w:r w:rsidR="00D37721">
        <w:t>4</w:t>
      </w:r>
      <w:r>
        <w:t>]. Studying its interaction with D2R can provide useful information about ligand binding and receptor stability. Molecular dynamics (MD) simulations are widely used to analyze these interactions at the atomic level [</w:t>
      </w:r>
      <w:r w:rsidR="00D37721">
        <w:t>5</w:t>
      </w:r>
      <w:r>
        <w:t>]. They allow the study of ligand motion, binding stability, and protein flexibility over time under realistic conditions.</w:t>
      </w:r>
    </w:p>
    <w:p w14:paraId="312367AE" w14:textId="778939A4" w:rsidR="00A20413" w:rsidRDefault="00A20413" w:rsidP="00A20413">
      <w:pPr>
        <w:pStyle w:val="TAMainText"/>
      </w:pPr>
      <w:r>
        <w:t>In this project, MD simulations were performed for the D2R–eticlopride complex in a POPC membrane environment using GROMACS [</w:t>
      </w:r>
      <w:r w:rsidR="00D37721">
        <w:t>6</w:t>
      </w:r>
      <w:r>
        <w:t>] and CHARMM-GUI generated systems [</w:t>
      </w:r>
      <w:r w:rsidR="00D37721">
        <w:t>7</w:t>
      </w:r>
      <w:r>
        <w:t>]. Ligand stability was evaluated through RMSD analysis, while ligand–receptor interactions were monitored during the simulations. Water occupancy maps were also analyzed to identify regions where water molecules could potentially be displaced by ligand modifications.</w:t>
      </w:r>
    </w:p>
    <w:p w14:paraId="2D54C961" w14:textId="3C342A21" w:rsidR="00C04C14" w:rsidRDefault="00A20413" w:rsidP="00A20413">
      <w:pPr>
        <w:pStyle w:val="TAMainText"/>
      </w:pPr>
      <w:r>
        <w:t xml:space="preserve">Based on the obtained results, two new derivatives of </w:t>
      </w:r>
      <w:r w:rsidRPr="00D37721">
        <w:t>eticlopride</w:t>
      </w:r>
      <w:r>
        <w:t xml:space="preserve"> were proposed with the aim of improving binding properties. Additional simulations were carried out to compare the stability and interactions of the modified ligands with the original compound. Finally, steered molecular dynamics simulations were used to investigate ligand unbinding and estimate the potential of mean force (PMF) [</w:t>
      </w:r>
      <w:r w:rsidR="00D37721">
        <w:t>8</w:t>
      </w:r>
      <w:r>
        <w:t>]. The results help identify which ligand shows the most favorable binding behavior toward the dopamine D2 receptor.</w:t>
      </w:r>
    </w:p>
    <w:p w14:paraId="28BE4C81" w14:textId="77777777" w:rsidR="00C04C14" w:rsidRDefault="00C04C14">
      <w:pPr>
        <w:pStyle w:val="TAMainText"/>
      </w:pPr>
    </w:p>
    <w:p w14:paraId="2789C888" w14:textId="77777777" w:rsidR="00C04C14" w:rsidRDefault="00000000">
      <w:pPr>
        <w:pStyle w:val="TAMainText"/>
      </w:pPr>
      <w:r>
        <w:rPr>
          <w:b/>
        </w:rPr>
        <w:t>RESULT &amp; DISCUSSION</w:t>
      </w:r>
      <w:r>
        <w:t>. TEXT (Word Style "TA_Main_Text"). For full instructions, please see the journal’s Instructions for Authors.   Do not modify the font in this or any other section, as doing so will not give an accu</w:t>
      </w:r>
      <w:r>
        <w:t>rate estimate of the formatting for publication and final length of the paper.</w:t>
      </w:r>
    </w:p>
    <w:p w14:paraId="6BDED0D0" w14:textId="77777777" w:rsidR="00C04C14" w:rsidRDefault="00C04C14">
      <w:pPr>
        <w:pStyle w:val="TAMainText"/>
      </w:pPr>
    </w:p>
    <w:p w14:paraId="5DFD995F" w14:textId="77777777" w:rsidR="00C04C14" w:rsidRDefault="00000000">
      <w:pPr>
        <w:pStyle w:val="VAFigureCaption"/>
      </w:pPr>
      <w:r>
        <w:t>FIGURES (Word Style "VA_Figure_Caption"). Each figure must have a caption that includes the figure number and a brief description, preferably one or two sentences. The caption should follow the format "Figure 1. Figure caption." All figures must be mentioned in the text consecutively and numbered with Arabic numerals. The caption should be understandable without reference to the text. Whenever possible, place the key to symbols in the artwork, not in the caption. To insert the figure into the template, be sure it is already sized appropriately and paste before the figure caption. For formatting double-column figures, see the instructions at the end of the template. Do NOT modify the amount of space before and after the caption as this allows for the rules, space above and below the rules, and space above and below the figure to be inserted upon editing.</w:t>
      </w:r>
    </w:p>
    <w:p w14:paraId="64F1BB3C" w14:textId="77777777" w:rsidR="00C04C14" w:rsidRDefault="00C04C14">
      <w:pPr>
        <w:pStyle w:val="TAMainText"/>
      </w:pPr>
    </w:p>
    <w:p w14:paraId="28A8D1F4" w14:textId="77777777" w:rsidR="00C04C14" w:rsidRDefault="00000000">
      <w:pPr>
        <w:pStyle w:val="TAMainText"/>
      </w:pPr>
      <w:r>
        <w:rPr>
          <w:b/>
        </w:rPr>
        <w:t>CONCLUSION</w:t>
      </w:r>
      <w:r>
        <w:t>. TEXT (Word Style "TA_Main_Text"). For full instructions, please see the journal’s Instructions for Authors.   Do not modify the font in this or any other section, as doing so will not give an accurate estimate of the formatting for publication and final length of the paper.</w:t>
      </w:r>
    </w:p>
    <w:p w14:paraId="6F8B395B" w14:textId="77777777" w:rsidR="00C04C14" w:rsidRDefault="00C04C14">
      <w:pPr>
        <w:pStyle w:val="TAMainText"/>
      </w:pPr>
    </w:p>
    <w:p w14:paraId="4B244F58" w14:textId="77777777" w:rsidR="00C04C14" w:rsidRDefault="00000000">
      <w:pPr>
        <w:pStyle w:val="TAMainText"/>
      </w:pPr>
      <w:r>
        <w:rPr>
          <w:b/>
        </w:rPr>
        <w:t>METHOD</w:t>
      </w:r>
      <w:r>
        <w:t>. TEXT (Word Style "TA_Main_Text"). For full instructions, please see the journal’s Instructions for Authors.   Do not modify the font in this or any other section, as doing so will not give an accurate estimate of the formatting for publication and final length of the paper.</w:t>
      </w:r>
    </w:p>
    <w:p w14:paraId="4B04C367" w14:textId="77777777" w:rsidR="00C04C14" w:rsidRDefault="00C04C14">
      <w:pPr>
        <w:pStyle w:val="TAMainText"/>
      </w:pPr>
    </w:p>
    <w:p w14:paraId="10C9177E" w14:textId="77777777" w:rsidR="00C04C14" w:rsidRDefault="00000000">
      <w:pPr>
        <w:pStyle w:val="TDAckTitle"/>
      </w:pPr>
      <w:r>
        <w:t>ABBREVIATIONS</w:t>
      </w:r>
    </w:p>
    <w:p w14:paraId="0D9704C8" w14:textId="77777777" w:rsidR="00C04C14" w:rsidRDefault="00000000">
      <w:pPr>
        <w:pStyle w:val="TDAcknowledgments"/>
      </w:pPr>
      <w:r>
        <w:t>CCR2, CC chemokine receptor 2; CCL2, CC chemokine ligand 2; CCR5, CC chemokine receptor 5; TLC, thin layer chromatography.</w:t>
      </w:r>
    </w:p>
    <w:p w14:paraId="759F357C" w14:textId="77777777" w:rsidR="00C04C14" w:rsidRDefault="00000000">
      <w:pPr>
        <w:pStyle w:val="TDAckTitle"/>
      </w:pPr>
      <w:r>
        <w:t>REFERENCES</w:t>
      </w:r>
    </w:p>
    <w:p w14:paraId="791DB0B1" w14:textId="5318C9D6" w:rsidR="00B13E93" w:rsidRPr="00B13E93" w:rsidRDefault="00B13E93" w:rsidP="00B13E93">
      <w:pPr>
        <w:pStyle w:val="TFReferencesSection"/>
      </w:pPr>
      <w:r w:rsidRPr="00B13E93">
        <w:lastRenderedPageBreak/>
        <w:t xml:space="preserve">[1] Beaulieu, J.M., Gainetdinov, R.R. (2011). The physiology, signaling, and pharmacology of dopamine receptors. </w:t>
      </w:r>
      <w:r w:rsidRPr="00B13E93">
        <w:rPr>
          <w:i/>
          <w:iCs/>
        </w:rPr>
        <w:t>Pharmacological Reviews</w:t>
      </w:r>
      <w:r w:rsidRPr="00B13E93">
        <w:t xml:space="preserve">, 63(1), 182–217. </w:t>
      </w:r>
      <w:hyperlink r:id="rId9" w:history="1">
        <w:r w:rsidR="00D37721" w:rsidRPr="0084485E">
          <w:rPr>
            <w:rStyle w:val="Hipervnculo"/>
            <w:lang w:val="es-ES"/>
          </w:rPr>
          <w:t>https://doi.org/10.1124/pr.110.002642</w:t>
        </w:r>
      </w:hyperlink>
      <w:r w:rsidR="00D37721">
        <w:rPr>
          <w:lang w:val="es-ES"/>
        </w:rPr>
        <w:t xml:space="preserve"> </w:t>
      </w:r>
    </w:p>
    <w:p w14:paraId="2720E152" w14:textId="4075C460" w:rsidR="00B13E93" w:rsidRPr="00B13E93" w:rsidRDefault="00B13E93" w:rsidP="00B13E93">
      <w:pPr>
        <w:pStyle w:val="TFReferencesSection"/>
      </w:pPr>
      <w:r w:rsidRPr="00B13E93">
        <w:t>[</w:t>
      </w:r>
      <w:r w:rsidR="00D37721">
        <w:t>2</w:t>
      </w:r>
      <w:r w:rsidRPr="00B13E93">
        <w:t xml:space="preserve">] Seeman, P. (2006). Targeting the dopamine D2 receptor in schizophrenia. </w:t>
      </w:r>
      <w:r w:rsidRPr="00B13E93">
        <w:rPr>
          <w:i/>
          <w:iCs/>
        </w:rPr>
        <w:t>Expert Opinion on Therapeutic Targets</w:t>
      </w:r>
      <w:r w:rsidRPr="00B13E93">
        <w:t xml:space="preserve">, 10(4), 515–531. </w:t>
      </w:r>
      <w:hyperlink r:id="rId10" w:history="1">
        <w:r w:rsidRPr="00B13E93">
          <w:rPr>
            <w:rStyle w:val="Hipervnculo"/>
          </w:rPr>
          <w:t>https://doi.org/10.1517/14728222.10.4.515</w:t>
        </w:r>
      </w:hyperlink>
    </w:p>
    <w:p w14:paraId="3370E14E" w14:textId="478200C6" w:rsidR="00B13E93" w:rsidRPr="00B13E93" w:rsidRDefault="00B13E93" w:rsidP="00B13E93">
      <w:pPr>
        <w:pStyle w:val="TFReferencesSection"/>
      </w:pPr>
      <w:r w:rsidRPr="00B13E93">
        <w:t>[</w:t>
      </w:r>
      <w:r w:rsidR="00D37721">
        <w:t>3</w:t>
      </w:r>
      <w:r w:rsidRPr="00B13E93">
        <w:t xml:space="preserve">] Samii, A., Nutt, J.G., Ransom, B.R. (2004). Parkinson's disease. </w:t>
      </w:r>
      <w:r w:rsidRPr="00B13E93">
        <w:rPr>
          <w:i/>
          <w:iCs/>
        </w:rPr>
        <w:t>The Lancet</w:t>
      </w:r>
      <w:r w:rsidRPr="00B13E93">
        <w:t xml:space="preserve">, 363(9423), 1783–1793. </w:t>
      </w:r>
      <w:hyperlink r:id="rId11" w:history="1">
        <w:r w:rsidRPr="00B13E93">
          <w:rPr>
            <w:rStyle w:val="Hipervnculo"/>
          </w:rPr>
          <w:t>https://doi.org/10.1016/S0140-6736(04)16305-8</w:t>
        </w:r>
      </w:hyperlink>
    </w:p>
    <w:p w14:paraId="40870505" w14:textId="6E2B37D1" w:rsidR="002235F1" w:rsidRDefault="00B13E93" w:rsidP="00B13E93">
      <w:pPr>
        <w:pStyle w:val="TFReferencesSection"/>
      </w:pPr>
      <w:r w:rsidRPr="00B13E93">
        <w:t>[</w:t>
      </w:r>
      <w:r w:rsidR="00D37721">
        <w:t>4</w:t>
      </w:r>
      <w:r w:rsidRPr="00B13E93">
        <w:t xml:space="preserve">] </w:t>
      </w:r>
      <w:r w:rsidR="002235F1" w:rsidRPr="002235F1">
        <w:t>Martelle, J. L., &amp; Nader, M. A. (2008). A review of the discovery, pharmacological characterization, and behavioral effects of the dopamine D2-like receptor antagonist eticlopride. </w:t>
      </w:r>
      <w:r w:rsidR="002235F1" w:rsidRPr="002235F1">
        <w:rPr>
          <w:i/>
          <w:iCs/>
        </w:rPr>
        <w:t>CNS neuroscience &amp; therapeutics</w:t>
      </w:r>
      <w:r w:rsidR="002235F1" w:rsidRPr="002235F1">
        <w:t>, </w:t>
      </w:r>
      <w:r w:rsidR="002235F1" w:rsidRPr="002235F1">
        <w:rPr>
          <w:i/>
          <w:iCs/>
        </w:rPr>
        <w:t>14</w:t>
      </w:r>
      <w:r w:rsidR="002235F1" w:rsidRPr="002235F1">
        <w:t xml:space="preserve">(3), 248–262. </w:t>
      </w:r>
      <w:hyperlink r:id="rId12" w:history="1">
        <w:r w:rsidR="002235F1" w:rsidRPr="0084485E">
          <w:rPr>
            <w:rStyle w:val="Hipervnculo"/>
          </w:rPr>
          <w:t>https://doi.org/10.1111/j.1755-5949.2008.00047.x</w:t>
        </w:r>
      </w:hyperlink>
      <w:r w:rsidR="002235F1">
        <w:t xml:space="preserve"> </w:t>
      </w:r>
      <w:r w:rsidR="002235F1" w:rsidRPr="002235F1">
        <w:t xml:space="preserve"> </w:t>
      </w:r>
    </w:p>
    <w:p w14:paraId="6EBAC67E" w14:textId="7AFE297B" w:rsidR="00B13E93" w:rsidRPr="00B13E93" w:rsidRDefault="00B13E93" w:rsidP="00B13E93">
      <w:pPr>
        <w:pStyle w:val="TFReferencesSection"/>
      </w:pPr>
      <w:r w:rsidRPr="00B13E93">
        <w:rPr>
          <w:lang w:val="es-ES"/>
        </w:rPr>
        <w:t>[</w:t>
      </w:r>
      <w:r w:rsidR="00D37721">
        <w:rPr>
          <w:lang w:val="es-ES"/>
        </w:rPr>
        <w:t>5</w:t>
      </w:r>
      <w:r w:rsidRPr="00B13E93">
        <w:rPr>
          <w:lang w:val="es-ES"/>
        </w:rPr>
        <w:t xml:space="preserve">] Guixà-González, R., et al. </w:t>
      </w:r>
      <w:r w:rsidRPr="00B13E93">
        <w:t xml:space="preserve">(2020). How do molecular dynamics data complement static structural data of GPCRs? </w:t>
      </w:r>
      <w:r w:rsidRPr="00B13E93">
        <w:rPr>
          <w:i/>
          <w:iCs/>
        </w:rPr>
        <w:t xml:space="preserve">Journal of </w:t>
      </w:r>
      <w:r w:rsidRPr="00B13E93">
        <w:rPr>
          <w:i/>
          <w:iCs/>
        </w:rPr>
        <w:t>Medicinal Chemistry</w:t>
      </w:r>
      <w:r w:rsidRPr="00B13E93">
        <w:t xml:space="preserve">, 63(8), 3989–4009. </w:t>
      </w:r>
      <w:hyperlink r:id="rId13" w:history="1">
        <w:r w:rsidR="00C9095D" w:rsidRPr="0084485E">
          <w:rPr>
            <w:rStyle w:val="Hipervnculo"/>
          </w:rPr>
          <w:t>https://doi.org/10.3390/ijms21165933</w:t>
        </w:r>
      </w:hyperlink>
      <w:r w:rsidR="00C9095D">
        <w:t xml:space="preserve"> </w:t>
      </w:r>
    </w:p>
    <w:p w14:paraId="0E5DC5A4" w14:textId="64F2350D" w:rsidR="00B13E93" w:rsidRPr="00B13E93" w:rsidRDefault="00B13E93" w:rsidP="00B13E93">
      <w:pPr>
        <w:pStyle w:val="TFReferencesSection"/>
      </w:pPr>
      <w:r w:rsidRPr="00B13E93">
        <w:t>[</w:t>
      </w:r>
      <w:r w:rsidR="00D37721">
        <w:t>6</w:t>
      </w:r>
      <w:r w:rsidRPr="00B13E93">
        <w:t xml:space="preserve">] Abraham, M.J., Murtola, T., Schulz, R., Páll, S., Smith, J.C., Hess, B., Lindahl, E. (2015). GROMACS: High performance molecular simulations through multi-level parallelism from laptops to supercomputers. </w:t>
      </w:r>
      <w:r w:rsidRPr="00B13E93">
        <w:rPr>
          <w:i/>
          <w:iCs/>
        </w:rPr>
        <w:t>SoftwareX</w:t>
      </w:r>
      <w:r w:rsidRPr="00B13E93">
        <w:t xml:space="preserve">, 1–2, 19–25. </w:t>
      </w:r>
      <w:hyperlink r:id="rId14" w:history="1">
        <w:r w:rsidRPr="00B13E93">
          <w:rPr>
            <w:rStyle w:val="Hipervnculo"/>
          </w:rPr>
          <w:t>https://doi.org/10.1016/j.softx.2015.06.001</w:t>
        </w:r>
      </w:hyperlink>
    </w:p>
    <w:p w14:paraId="7B9C351E" w14:textId="04881C4B" w:rsidR="00B13E93" w:rsidRPr="00B13E93" w:rsidRDefault="00B13E93" w:rsidP="00B13E93">
      <w:pPr>
        <w:pStyle w:val="TFReferencesSection"/>
      </w:pPr>
      <w:r w:rsidRPr="00B13E93">
        <w:t>[</w:t>
      </w:r>
      <w:r w:rsidR="00D37721">
        <w:t>7</w:t>
      </w:r>
      <w:r w:rsidRPr="00B13E93">
        <w:t xml:space="preserve">] Wu, E.L., et al. (2014). CHARMM-GUI Membrane Builder toward realistic biological membrane simulations. </w:t>
      </w:r>
      <w:r w:rsidRPr="00B13E93">
        <w:rPr>
          <w:i/>
          <w:iCs/>
        </w:rPr>
        <w:t>Journal of Computational Chemistry</w:t>
      </w:r>
      <w:r w:rsidRPr="00B13E93">
        <w:t xml:space="preserve">, 35(27), 1997–2004. </w:t>
      </w:r>
      <w:hyperlink r:id="rId15" w:history="1">
        <w:r w:rsidRPr="00B13E93">
          <w:rPr>
            <w:rStyle w:val="Hipervnculo"/>
          </w:rPr>
          <w:t>https://doi.org/10.1002/jcc.23702</w:t>
        </w:r>
      </w:hyperlink>
    </w:p>
    <w:p w14:paraId="7670E727" w14:textId="7C601BD4" w:rsidR="00B13E93" w:rsidRPr="00B13E93" w:rsidRDefault="00D37721" w:rsidP="00D37721">
      <w:pPr>
        <w:pStyle w:val="TFReferencesSection"/>
      </w:pPr>
      <w:r>
        <w:t>[8</w:t>
      </w:r>
      <w:r w:rsidR="00B13E93" w:rsidRPr="00B13E93">
        <w:t xml:space="preserve">] Isralewitz, B., Gao, M., Schulten, K. (2001). Steered molecular dynamics and mechanical functions of proteins. </w:t>
      </w:r>
      <w:r w:rsidR="00B13E93" w:rsidRPr="00B13E93">
        <w:rPr>
          <w:i/>
          <w:iCs/>
        </w:rPr>
        <w:t>Current Opinion in Structural Biology</w:t>
      </w:r>
      <w:r w:rsidR="00B13E93" w:rsidRPr="00B13E93">
        <w:t xml:space="preserve">, 11(2), 224–230. </w:t>
      </w:r>
      <w:hyperlink r:id="rId16" w:history="1">
        <w:r w:rsidR="00B13E93" w:rsidRPr="00B13E93">
          <w:rPr>
            <w:rStyle w:val="Hipervnculo"/>
          </w:rPr>
          <w:t>https://doi.org/10.1016/S0959-440X(00)00194-9</w:t>
        </w:r>
      </w:hyperlink>
    </w:p>
    <w:p w14:paraId="123FC47C" w14:textId="6460BD99" w:rsidR="00C04C14" w:rsidRDefault="00C04C14" w:rsidP="00B13E93">
      <w:pPr>
        <w:pStyle w:val="TFReferencesSection"/>
        <w:sectPr w:rsidR="00C04C14">
          <w:type w:val="continuous"/>
          <w:pgSz w:w="12240" w:h="15840"/>
          <w:pgMar w:top="720" w:right="1094" w:bottom="777" w:left="1094" w:header="0" w:footer="720" w:gutter="0"/>
          <w:cols w:num="2" w:space="460"/>
          <w:formProt w:val="0"/>
          <w:titlePg/>
          <w:docGrid w:linePitch="600" w:charSpace="32768"/>
        </w:sectPr>
      </w:pPr>
    </w:p>
    <w:p w14:paraId="33619600" w14:textId="77777777" w:rsidR="00C04C14" w:rsidRDefault="00C04C14">
      <w:pPr>
        <w:pBdr>
          <w:bottom w:val="single" w:sz="4" w:space="1" w:color="000000"/>
        </w:pBdr>
        <w:spacing w:after="240"/>
        <w:rPr>
          <w:rFonts w:ascii="Arno Pro" w:hAnsi="Arno Pro"/>
        </w:rPr>
      </w:pPr>
    </w:p>
    <w:sectPr w:rsidR="00C04C14">
      <w:type w:val="continuous"/>
      <w:pgSz w:w="12240" w:h="15840"/>
      <w:pgMar w:top="720" w:right="1094" w:bottom="777" w:left="1094" w:header="0" w:footer="720"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00C9F" w14:textId="77777777" w:rsidR="0022137E" w:rsidRDefault="0022137E">
      <w:pPr>
        <w:spacing w:after="0"/>
      </w:pPr>
      <w:r>
        <w:separator/>
      </w:r>
    </w:p>
  </w:endnote>
  <w:endnote w:type="continuationSeparator" w:id="0">
    <w:p w14:paraId="20A2390C" w14:textId="77777777" w:rsidR="0022137E" w:rsidRDefault="002213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panose1 w:val="020405030605060203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1"/>
    <w:family w:val="roman"/>
    <w:pitch w:val="variable"/>
    <w:sig w:usb0="E0002EFF" w:usb1="C000785B" w:usb2="00000009" w:usb3="00000000" w:csb0="000001FF" w:csb1="00000000"/>
    <w:embedRegular r:id="rId1" w:fontKey="{14564083-1A33-4C4B-8C27-B8D11A315770}"/>
    <w:embedBold r:id="rId2" w:fontKey="{68314441-4CB3-4F7E-B567-C7CDB11A58DB}"/>
    <w:embedItalic r:id="rId3" w:fontKey="{8266FAC8-74B8-4C6D-9922-72563BC0DD50}"/>
  </w:font>
  <w:font w:name="Myriad Pro Light">
    <w:altName w:val="Segoe UI Light"/>
    <w:charset w:val="01"/>
    <w:family w:val="roman"/>
    <w:pitch w:val="variable"/>
  </w:font>
  <w:font w:name="Arial">
    <w:panose1 w:val="020B0604020202020204"/>
    <w:charset w:val="00"/>
    <w:family w:val="swiss"/>
    <w:pitch w:val="variable"/>
    <w:sig w:usb0="E0002EFF" w:usb1="C000785B" w:usb2="00000009" w:usb3="00000000" w:csb0="000001FF" w:csb1="00000000"/>
  </w:font>
  <w:font w:name="Arno Pro">
    <w:altName w:val="Cambria"/>
    <w:charset w:val="01"/>
    <w:family w:val="roman"/>
    <w:pitch w:val="variable"/>
  </w:font>
  <w:font w:name="Liberation Sans">
    <w:altName w:val="Arial"/>
    <w:charset w:val="01"/>
    <w:family w:val="swiss"/>
    <w:pitch w:val="variable"/>
    <w:embedRegular r:id="rId4" w:fontKey="{32D36DE0-A586-4FA5-96C3-5EA9FF0F288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7A2AE0A1-49E2-4EC2-AC02-9616D0B2218A}"/>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83D8FD5C-6E53-4F4C-A2CE-4CED2DADCFD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C3A99CDC-1925-4D59-B394-EA70279CCA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6749F" w14:textId="1A842260" w:rsidR="00C04C14" w:rsidRDefault="00D37721">
    <w:pPr>
      <w:ind w:right="360"/>
    </w:pPr>
    <w:r>
      <w:rPr>
        <w:noProof/>
      </w:rPr>
      <w:pict w14:anchorId="7AB49155">
        <v:shapetype id="_x0000_t202" coordsize="21600,21600" o:spt="202" path="m,l,21600r21600,l21600,xe">
          <v:stroke joinstyle="miter"/>
          <v:path gradientshapeok="t" o:connecttype="rect"/>
        </v:shapetype>
        <v:shape id="Marco1" o:spid="_x0000_s1025" type="#_x0000_t202" style="position:absolute;left:0;text-align:left;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034EA87F" w14:textId="77777777" w:rsidR="00C04C14" w:rsidRDefault="00000000">
                <w:pPr>
                  <w:rPr>
                    <w:rStyle w:val="Nmerodepgina"/>
                  </w:rPr>
                </w:pPr>
                <w:r>
                  <w:rPr>
                    <w:rStyle w:val="Nmerodepgina"/>
                  </w:rPr>
                  <w:t>PAGE  2</w:t>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147CF" w14:textId="77777777" w:rsidR="00C04C14" w:rsidRDefault="00C04C14">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236AC" w14:textId="77777777" w:rsidR="00C04C14" w:rsidRDefault="00000000">
    <w:pPr>
      <w:pStyle w:val="Piedepgina"/>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8F4A4" w14:textId="77777777" w:rsidR="0022137E" w:rsidRDefault="0022137E">
      <w:pPr>
        <w:spacing w:after="0"/>
      </w:pPr>
      <w:r>
        <w:separator/>
      </w:r>
    </w:p>
  </w:footnote>
  <w:footnote w:type="continuationSeparator" w:id="0">
    <w:p w14:paraId="2804BB0F" w14:textId="77777777" w:rsidR="0022137E" w:rsidRDefault="0022137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autoHyphenation/>
  <w:hyphenationZone w:val="425"/>
  <w:doNotHyphenateCap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04C14"/>
    <w:rsid w:val="0022137E"/>
    <w:rsid w:val="002235F1"/>
    <w:rsid w:val="0072549E"/>
    <w:rsid w:val="00A20413"/>
    <w:rsid w:val="00B13E93"/>
    <w:rsid w:val="00C04C14"/>
    <w:rsid w:val="00C9095D"/>
    <w:rsid w:val="00D3772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2D271"/>
  <w15:docId w15:val="{36CA8E47-87D9-4604-83C0-6F8D72C0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val="0"/>
      <w:spacing w:after="200"/>
      <w:jc w:val="both"/>
    </w:pPr>
    <w:rPr>
      <w:rFonts w:ascii="Times" w:hAnsi="Times"/>
      <w:sz w:val="24"/>
    </w:rPr>
  </w:style>
  <w:style w:type="paragraph" w:styleId="Ttulo1">
    <w:name w:val="heading 1"/>
    <w:basedOn w:val="Normal"/>
    <w:next w:val="Normal"/>
    <w:qFormat/>
    <w:rsid w:val="00865479"/>
    <w:pPr>
      <w:keepNext/>
      <w:spacing w:before="180" w:after="60"/>
      <w:ind w:left="480" w:hanging="240"/>
      <w:outlineLvl w:val="0"/>
    </w:pPr>
    <w:rPr>
      <w:rFonts w:ascii="Myriad Pro Light" w:hAnsi="Myriad Pro Light" w:cs="Arial"/>
      <w:b/>
      <w:bCs/>
      <w:kern w:val="2"/>
      <w:sz w:val="22"/>
      <w:szCs w:val="32"/>
    </w:rPr>
  </w:style>
  <w:style w:type="paragraph" w:styleId="Ttulo2">
    <w:name w:val="heading 2"/>
    <w:basedOn w:val="Normal"/>
    <w:next w:val="Normal"/>
    <w:qFormat/>
    <w:rsid w:val="00865479"/>
    <w:pPr>
      <w:keepNext/>
      <w:spacing w:before="60" w:after="60"/>
      <w:outlineLvl w:val="1"/>
    </w:pPr>
    <w:rPr>
      <w:rFonts w:ascii="Myriad Pro Light" w:hAnsi="Myriad Pro Light" w:cs="Arial"/>
      <w:b/>
      <w:bCs/>
      <w:iCs/>
      <w:sz w:val="20"/>
      <w:szCs w:val="28"/>
    </w:rPr>
  </w:style>
  <w:style w:type="paragraph" w:styleId="Ttulo3">
    <w:name w:val="heading 3"/>
    <w:basedOn w:val="Normal"/>
    <w:next w:val="Normal"/>
    <w:qFormat/>
    <w:rsid w:val="00865479"/>
    <w:pPr>
      <w:keepNext/>
      <w:spacing w:before="60" w:after="60"/>
      <w:ind w:left="180"/>
      <w:outlineLvl w:val="2"/>
    </w:pPr>
    <w:rPr>
      <w:rFonts w:ascii="Myriad Pro Light" w:hAnsi="Myriad Pro Light" w:cs="Arial"/>
      <w:b/>
      <w:bCs/>
      <w:sz w:val="20"/>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visitado">
    <w:name w:val="FollowedHyperlink"/>
    <w:rPr>
      <w:color w:val="800080"/>
      <w:u w:val="single"/>
    </w:rPr>
  </w:style>
  <w:style w:type="character" w:styleId="Hipervnculo">
    <w:name w:val="Hyperlink"/>
    <w:rPr>
      <w:color w:val="0000FF"/>
      <w:u w:val="single"/>
    </w:rPr>
  </w:style>
  <w:style w:type="character" w:styleId="Nmerodepgina">
    <w:name w:val="page number"/>
    <w:basedOn w:val="Fuentedeprrafopredeter"/>
  </w:style>
  <w:style w:type="character" w:customStyle="1" w:styleId="Caracteresdenotafinal">
    <w:name w:val="Caracteres de nota final"/>
    <w:semiHidden/>
    <w:qFormat/>
    <w:rsid w:val="00A66EDD"/>
    <w:rPr>
      <w:rFonts w:ascii="Times" w:hAnsi="Times"/>
      <w:sz w:val="18"/>
      <w:vertAlign w:val="superscript"/>
    </w:rPr>
  </w:style>
  <w:style w:type="character" w:styleId="Refdenotaalfinal">
    <w:name w:val="endnote reference"/>
    <w:rPr>
      <w:rFonts w:ascii="Times" w:hAnsi="Times"/>
      <w:sz w:val="18"/>
      <w:vertAlign w:val="superscript"/>
    </w:rPr>
  </w:style>
  <w:style w:type="character" w:customStyle="1" w:styleId="StyleFACorrespondingAuthorFootnote7ptChar">
    <w:name w:val="Style FA_Corresponding_Author_Footnote + 7 pt Char"/>
    <w:link w:val="StyleFACorrespondingAuthorFootnote7pt"/>
    <w:qFormat/>
    <w:rsid w:val="000D2D84"/>
    <w:rPr>
      <w:rFonts w:ascii="Arno Pro" w:hAnsi="Arno Pro"/>
      <w:kern w:val="2"/>
      <w:sz w:val="18"/>
      <w:lang w:val="en-US" w:eastAsia="en-US" w:bidi="ar-SA"/>
    </w:rPr>
  </w:style>
  <w:style w:type="character" w:customStyle="1" w:styleId="BDAbstractChar">
    <w:name w:val="BD_Abstract Char"/>
    <w:link w:val="BDAbstract"/>
    <w:qFormat/>
    <w:rsid w:val="000E75E3"/>
    <w:rPr>
      <w:rFonts w:ascii="Arno Pro" w:hAnsi="Arno Pro"/>
      <w:kern w:val="2"/>
      <w:sz w:val="19"/>
      <w:lang w:val="en-US" w:eastAsia="en-US" w:bidi="ar-SA"/>
    </w:rPr>
  </w:style>
  <w:style w:type="character" w:customStyle="1" w:styleId="BDAbstractTitleChar">
    <w:name w:val="BD_Abstract_Title Char"/>
    <w:link w:val="BDAbstractTitle"/>
    <w:qFormat/>
    <w:rsid w:val="006532A9"/>
    <w:rPr>
      <w:rFonts w:ascii="Arno Pro" w:hAnsi="Arno Pro"/>
      <w:b/>
      <w:kern w:val="2"/>
      <w:sz w:val="19"/>
      <w:lang w:val="en-US" w:eastAsia="en-US" w:bidi="ar-SA"/>
    </w:rPr>
  </w:style>
  <w:style w:type="character" w:customStyle="1" w:styleId="TDAcknowledgmentsChar">
    <w:name w:val="TD_Acknowledgments Char"/>
    <w:link w:val="TDAcknowledgments"/>
    <w:qFormat/>
    <w:rsid w:val="00E75388"/>
    <w:rPr>
      <w:rFonts w:ascii="Arno Pro" w:hAnsi="Arno Pro"/>
      <w:kern w:val="2"/>
      <w:sz w:val="18"/>
      <w:lang w:val="en-US" w:eastAsia="en-US" w:bidi="ar-SA"/>
    </w:rPr>
  </w:style>
  <w:style w:type="character" w:customStyle="1" w:styleId="TDAckTitleChar">
    <w:name w:val="TD_Ack_Title Char"/>
    <w:link w:val="TDAckTitle"/>
    <w:qFormat/>
    <w:rsid w:val="00AC5F97"/>
    <w:rPr>
      <w:rFonts w:ascii="Myriad Pro Light" w:hAnsi="Myriad Pro Light"/>
      <w:b/>
      <w:kern w:val="2"/>
      <w:sz w:val="21"/>
      <w:lang w:val="en-US" w:eastAsia="en-US" w:bidi="ar-SA"/>
    </w:rPr>
  </w:style>
  <w:style w:type="character" w:customStyle="1" w:styleId="FAAuthorInfoSubtitleChar">
    <w:name w:val="FA_Author_Info_Subtitle Char"/>
    <w:link w:val="FAAuthorInfoSubtitle"/>
    <w:qFormat/>
    <w:rsid w:val="00DE78D2"/>
    <w:rPr>
      <w:rFonts w:ascii="Myriad Pro Light" w:hAnsi="Myriad Pro Light"/>
      <w:b/>
      <w:kern w:val="2"/>
      <w:sz w:val="19"/>
      <w:szCs w:val="14"/>
      <w:lang w:val="en-US" w:eastAsia="en-US" w:bidi="ar-SA"/>
    </w:rPr>
  </w:style>
  <w:style w:type="character" w:customStyle="1" w:styleId="TCTableBodyChar">
    <w:name w:val="TC_Table_Body Char"/>
    <w:link w:val="TCTableBody"/>
    <w:qFormat/>
    <w:rsid w:val="000E75E3"/>
    <w:rPr>
      <w:rFonts w:ascii="Arno Pro" w:hAnsi="Arno Pro"/>
      <w:kern w:val="2"/>
      <w:sz w:val="18"/>
      <w:lang w:val="en-US" w:eastAsia="en-US" w:bidi="ar-SA"/>
    </w:rPr>
  </w:style>
  <w:style w:type="character" w:customStyle="1" w:styleId="StyleTCTableBodyBoldChar">
    <w:name w:val="Style TC_Table_Body + Bold Char"/>
    <w:link w:val="StyleTCTableBodyBold"/>
    <w:qFormat/>
    <w:rsid w:val="000E75E3"/>
    <w:rPr>
      <w:rFonts w:ascii="Arno Pro" w:hAnsi="Arno Pro"/>
      <w:b/>
      <w:bCs/>
      <w:kern w:val="2"/>
      <w:sz w:val="15"/>
      <w:lang w:val="en-US" w:eastAsia="en-US" w:bidi="ar-SA"/>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jc w:val="center"/>
    </w:pPr>
    <w:rPr>
      <w:b/>
      <w:sz w:val="40"/>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Cs w:val="24"/>
    </w:rPr>
  </w:style>
  <w:style w:type="paragraph" w:customStyle="1" w:styleId="ndice">
    <w:name w:val="Índice"/>
    <w:basedOn w:val="Normal"/>
    <w:qFormat/>
    <w:pPr>
      <w:suppressLineNumbers/>
    </w:pPr>
    <w:rPr>
      <w:rFonts w:cs="Noto Sans Devanagari"/>
    </w:rPr>
  </w:style>
  <w:style w:type="paragraph" w:styleId="Textonotapie">
    <w:name w:val="footnote text"/>
    <w:basedOn w:val="Normal"/>
    <w:next w:val="TFReferencesSection"/>
    <w:semiHidden/>
  </w:style>
  <w:style w:type="paragraph" w:customStyle="1" w:styleId="TFReferencesSection">
    <w:name w:val="TF_References_Section"/>
    <w:basedOn w:val="Normal"/>
    <w:next w:val="Normal"/>
    <w:autoRedefine/>
    <w:qFormat/>
    <w:rsid w:val="00AC5F97"/>
    <w:pPr>
      <w:spacing w:after="0"/>
      <w:ind w:firstLine="187"/>
    </w:pPr>
    <w:rPr>
      <w:rFonts w:ascii="Arno Pro" w:hAnsi="Arno Pro"/>
      <w:kern w:val="2"/>
      <w:sz w:val="17"/>
      <w:szCs w:val="14"/>
    </w:rPr>
  </w:style>
  <w:style w:type="paragraph" w:customStyle="1" w:styleId="TAMainText">
    <w:name w:val="TA_Main_Text"/>
    <w:basedOn w:val="Normal"/>
    <w:autoRedefine/>
    <w:qFormat/>
    <w:rsid w:val="000E75E3"/>
    <w:pPr>
      <w:spacing w:after="60"/>
      <w:ind w:firstLine="180"/>
    </w:pPr>
    <w:rPr>
      <w:rFonts w:ascii="Arno Pro" w:hAnsi="Arno Pro"/>
      <w:kern w:val="2"/>
      <w:sz w:val="19"/>
    </w:rPr>
  </w:style>
  <w:style w:type="paragraph" w:customStyle="1" w:styleId="BATitle">
    <w:name w:val="BA_Title"/>
    <w:basedOn w:val="Normal"/>
    <w:next w:val="BBAuthorName"/>
    <w:autoRedefine/>
    <w:qFormat/>
    <w:rsid w:val="00427112"/>
    <w:pPr>
      <w:spacing w:before="1400" w:after="180"/>
      <w:jc w:val="left"/>
    </w:pPr>
    <w:rPr>
      <w:rFonts w:ascii="Myriad Pro Light" w:hAnsi="Myriad Pro Light"/>
      <w:b/>
      <w:kern w:val="2"/>
      <w:sz w:val="34"/>
    </w:rPr>
  </w:style>
  <w:style w:type="paragraph" w:customStyle="1" w:styleId="BBAuthorName">
    <w:name w:val="BB_Author_Name"/>
    <w:basedOn w:val="Normal"/>
    <w:next w:val="BCAuthorAddress"/>
    <w:autoRedefine/>
    <w:qFormat/>
    <w:rsid w:val="000E75E3"/>
    <w:pPr>
      <w:spacing w:after="180"/>
      <w:jc w:val="left"/>
    </w:pPr>
    <w:rPr>
      <w:rFonts w:ascii="Arno Pro" w:hAnsi="Arno Pro"/>
      <w:kern w:val="2"/>
    </w:rPr>
  </w:style>
  <w:style w:type="paragraph" w:customStyle="1" w:styleId="BCAuthorAddress">
    <w:name w:val="BC_Author_Address"/>
    <w:basedOn w:val="Normal"/>
    <w:next w:val="BIEmailAddress"/>
    <w:autoRedefine/>
    <w:qFormat/>
    <w:rsid w:val="00AC5F97"/>
    <w:pPr>
      <w:spacing w:after="60"/>
      <w:jc w:val="left"/>
    </w:pPr>
    <w:rPr>
      <w:rFonts w:ascii="Arno Pro" w:hAnsi="Arno Pro"/>
      <w:kern w:val="2"/>
      <w:sz w:val="20"/>
    </w:rPr>
  </w:style>
  <w:style w:type="paragraph" w:customStyle="1" w:styleId="BIEmailAddress">
    <w:name w:val="BI_Email_Address"/>
    <w:basedOn w:val="Normal"/>
    <w:next w:val="AIReceivedDate"/>
    <w:autoRedefine/>
    <w:qFormat/>
    <w:rsid w:val="003A0F5F"/>
    <w:pPr>
      <w:spacing w:after="100"/>
      <w:jc w:val="left"/>
    </w:pPr>
    <w:rPr>
      <w:rFonts w:ascii="Arno Pro" w:hAnsi="Arno Pro"/>
      <w:sz w:val="18"/>
    </w:rPr>
  </w:style>
  <w:style w:type="paragraph" w:customStyle="1" w:styleId="AIReceivedDate">
    <w:name w:val="AI_Received_Date"/>
    <w:basedOn w:val="Normal"/>
    <w:next w:val="Normal"/>
    <w:autoRedefine/>
    <w:qFormat/>
    <w:rsid w:val="00A444E1"/>
    <w:pPr>
      <w:spacing w:after="100"/>
      <w:jc w:val="left"/>
    </w:pPr>
    <w:rPr>
      <w:rFonts w:ascii="Arno Pro" w:hAnsi="Arno Pro"/>
      <w:sz w:val="18"/>
    </w:rPr>
  </w:style>
  <w:style w:type="paragraph" w:customStyle="1" w:styleId="BDAbstract">
    <w:name w:val="BD_Abstract"/>
    <w:basedOn w:val="Normal"/>
    <w:next w:val="TAMainText"/>
    <w:link w:val="BDAbstractChar"/>
    <w:autoRedefine/>
    <w:qFormat/>
    <w:rsid w:val="000E75E3"/>
    <w:pPr>
      <w:pBdr>
        <w:top w:val="single" w:sz="4" w:space="1" w:color="000000"/>
        <w:bottom w:val="single" w:sz="4" w:space="1" w:color="000000"/>
      </w:pBdr>
      <w:spacing w:before="100" w:after="600"/>
    </w:pPr>
    <w:rPr>
      <w:rFonts w:ascii="Arno Pro" w:hAnsi="Arno Pro"/>
      <w:kern w:val="2"/>
      <w:sz w:val="19"/>
    </w:rPr>
  </w:style>
  <w:style w:type="paragraph" w:customStyle="1" w:styleId="TDAcknowledgments">
    <w:name w:val="TD_Acknowledgments"/>
    <w:basedOn w:val="Normal"/>
    <w:next w:val="Normal"/>
    <w:link w:val="TDAcknowledgmentsChar"/>
    <w:autoRedefine/>
    <w:qFormat/>
    <w:rsid w:val="00E75388"/>
    <w:pPr>
      <w:spacing w:after="0"/>
    </w:pPr>
    <w:rPr>
      <w:rFonts w:ascii="Arno Pro" w:hAnsi="Arno Pro"/>
      <w:kern w:val="2"/>
      <w:sz w:val="18"/>
    </w:rPr>
  </w:style>
  <w:style w:type="paragraph" w:customStyle="1" w:styleId="TESupportingInformation">
    <w:name w:val="TE_Supporting_Information"/>
    <w:basedOn w:val="Normal"/>
    <w:next w:val="Normal"/>
    <w:autoRedefine/>
    <w:qFormat/>
    <w:rsid w:val="00157E12"/>
    <w:pPr>
      <w:spacing w:after="0"/>
    </w:pPr>
    <w:rPr>
      <w:rFonts w:ascii="Arno Pro" w:hAnsi="Arno Pro"/>
      <w:kern w:val="2"/>
      <w:sz w:val="18"/>
    </w:rPr>
  </w:style>
  <w:style w:type="paragraph" w:customStyle="1" w:styleId="VCSchemeTitle">
    <w:name w:val="VC_Scheme_Title"/>
    <w:basedOn w:val="Normal"/>
    <w:next w:val="Normal"/>
    <w:autoRedefine/>
    <w:qFormat/>
    <w:rsid w:val="00427112"/>
    <w:pPr>
      <w:spacing w:after="180"/>
    </w:pPr>
    <w:rPr>
      <w:rFonts w:ascii="Arno Pro" w:hAnsi="Arno Pro"/>
      <w:b/>
      <w:kern w:val="2"/>
      <w:sz w:val="19"/>
    </w:rPr>
  </w:style>
  <w:style w:type="paragraph" w:customStyle="1" w:styleId="VDTableTitle">
    <w:name w:val="VD_Table_Title"/>
    <w:basedOn w:val="Normal"/>
    <w:next w:val="Normal"/>
    <w:autoRedefine/>
    <w:qFormat/>
    <w:rsid w:val="00427112"/>
    <w:pPr>
      <w:spacing w:after="180"/>
    </w:pPr>
    <w:rPr>
      <w:rFonts w:ascii="Arno Pro" w:hAnsi="Arno Pro"/>
      <w:b/>
      <w:kern w:val="2"/>
      <w:sz w:val="19"/>
      <w:szCs w:val="19"/>
    </w:rPr>
  </w:style>
  <w:style w:type="paragraph" w:customStyle="1" w:styleId="VAFigureCaption">
    <w:name w:val="VA_Figure_Caption"/>
    <w:basedOn w:val="Normal"/>
    <w:next w:val="Normal"/>
    <w:autoRedefine/>
    <w:qFormat/>
    <w:rsid w:val="000E75E3"/>
    <w:pPr>
      <w:spacing w:before="200" w:after="120"/>
    </w:pPr>
    <w:rPr>
      <w:rFonts w:ascii="Arno Pro" w:hAnsi="Arno Pro"/>
      <w:kern w:val="2"/>
      <w:sz w:val="18"/>
    </w:rPr>
  </w:style>
  <w:style w:type="paragraph" w:customStyle="1" w:styleId="VBChartTitle">
    <w:name w:val="VB_Chart_Title"/>
    <w:basedOn w:val="Normal"/>
    <w:next w:val="Normal"/>
    <w:autoRedefine/>
    <w:qFormat/>
    <w:rsid w:val="00427112"/>
    <w:pPr>
      <w:spacing w:after="180"/>
    </w:pPr>
    <w:rPr>
      <w:rFonts w:ascii="Arno Pro" w:hAnsi="Arno Pro"/>
      <w:b/>
      <w:kern w:val="2"/>
      <w:sz w:val="19"/>
    </w:rPr>
  </w:style>
  <w:style w:type="paragraph" w:customStyle="1" w:styleId="FETableFootnote">
    <w:name w:val="FE_Table_Footnote"/>
    <w:basedOn w:val="Normal"/>
    <w:next w:val="Normal"/>
    <w:autoRedefine/>
    <w:qFormat/>
    <w:rsid w:val="000E75E3"/>
    <w:pPr>
      <w:spacing w:before="60" w:after="120"/>
      <w:ind w:firstLine="187"/>
    </w:pPr>
    <w:rPr>
      <w:rFonts w:ascii="Arno Pro" w:hAnsi="Arno Pro"/>
      <w:sz w:val="18"/>
    </w:rPr>
  </w:style>
  <w:style w:type="paragraph" w:customStyle="1" w:styleId="FCChartFootnote">
    <w:name w:val="FC_Chart_Footnote"/>
    <w:basedOn w:val="Normal"/>
    <w:next w:val="Normal"/>
    <w:autoRedefine/>
    <w:qFormat/>
    <w:rsid w:val="00157E12"/>
    <w:pPr>
      <w:spacing w:before="60" w:after="120"/>
      <w:ind w:firstLine="187"/>
    </w:pPr>
    <w:rPr>
      <w:rFonts w:ascii="Arno Pro" w:hAnsi="Arno Pro"/>
      <w:sz w:val="18"/>
    </w:rPr>
  </w:style>
  <w:style w:type="paragraph" w:customStyle="1" w:styleId="FDSchemeFootnote">
    <w:name w:val="FD_Scheme_Footnote"/>
    <w:basedOn w:val="Normal"/>
    <w:next w:val="Normal"/>
    <w:autoRedefine/>
    <w:qFormat/>
    <w:rsid w:val="00157E12"/>
    <w:pPr>
      <w:spacing w:before="60" w:after="120"/>
      <w:ind w:firstLine="187"/>
    </w:pPr>
    <w:rPr>
      <w:rFonts w:ascii="Arno Pro" w:hAnsi="Arno Pro"/>
      <w:sz w:val="18"/>
    </w:rPr>
  </w:style>
  <w:style w:type="paragraph" w:customStyle="1" w:styleId="TCTableBody">
    <w:name w:val="TC_Table_Body"/>
    <w:basedOn w:val="Normal"/>
    <w:next w:val="Normal"/>
    <w:link w:val="TCTableBodyChar"/>
    <w:autoRedefine/>
    <w:qFormat/>
    <w:rsid w:val="000E75E3"/>
    <w:pPr>
      <w:spacing w:before="20" w:after="60"/>
    </w:pPr>
    <w:rPr>
      <w:rFonts w:ascii="Arno Pro" w:hAnsi="Arno Pro"/>
      <w:kern w:val="2"/>
      <w:sz w:val="18"/>
    </w:rPr>
  </w:style>
  <w:style w:type="paragraph" w:customStyle="1" w:styleId="StyleFACorrespondingAuthorFootnote7pt">
    <w:name w:val="Style FA_Corresponding_Author_Footnote + 7 pt"/>
    <w:basedOn w:val="Normal"/>
    <w:next w:val="BGKeywords"/>
    <w:link w:val="StyleFACorrespondingAuthorFootnote7ptChar"/>
    <w:autoRedefine/>
    <w:qFormat/>
    <w:rsid w:val="000D2D84"/>
    <w:pPr>
      <w:spacing w:after="0"/>
      <w:jc w:val="left"/>
    </w:pPr>
    <w:rPr>
      <w:rFonts w:ascii="Arno Pro" w:hAnsi="Arno Pro"/>
      <w:kern w:val="2"/>
      <w:sz w:val="18"/>
    </w:rPr>
  </w:style>
  <w:style w:type="paragraph" w:customStyle="1" w:styleId="BEAuthorBiography">
    <w:name w:val="BE_Author_Biography"/>
    <w:basedOn w:val="Normal"/>
    <w:autoRedefine/>
    <w:qFormat/>
    <w:rsid w:val="003A0F5F"/>
    <w:rPr>
      <w:rFonts w:ascii="Arno Pro" w:hAnsi="Arno Pro"/>
      <w:sz w:val="22"/>
    </w:rPr>
  </w:style>
  <w:style w:type="paragraph" w:customStyle="1" w:styleId="StyleBIEmailAddress95pt">
    <w:name w:val="Style BI_Email_Address + 9.5 pt"/>
    <w:basedOn w:val="BIEmailAddress"/>
    <w:qFormat/>
    <w:rsid w:val="007F6792"/>
    <w:pPr>
      <w:spacing w:after="60"/>
    </w:pPr>
    <w:rPr>
      <w:sz w:val="19"/>
    </w:rPr>
  </w:style>
  <w:style w:type="paragraph" w:customStyle="1" w:styleId="SNSynopsisTOC">
    <w:name w:val="SN_Synopsis_TOC"/>
    <w:basedOn w:val="Normal"/>
    <w:next w:val="Normal"/>
    <w:autoRedefine/>
    <w:qFormat/>
    <w:rsid w:val="000E75E3"/>
    <w:pPr>
      <w:spacing w:after="60"/>
    </w:pPr>
    <w:rPr>
      <w:rFonts w:ascii="Arno Pro" w:hAnsi="Arno Pro"/>
      <w:kern w:val="2"/>
      <w:sz w:val="20"/>
    </w:rPr>
  </w:style>
  <w:style w:type="paragraph" w:customStyle="1" w:styleId="Cabeceraypie">
    <w:name w:val="Cabecera y pie"/>
    <w:basedOn w:val="Normal"/>
    <w:qFormat/>
  </w:style>
  <w:style w:type="paragraph" w:styleId="Piedepgina">
    <w:name w:val="footer"/>
    <w:basedOn w:val="Normal"/>
    <w:pPr>
      <w:tabs>
        <w:tab w:val="center" w:pos="4320"/>
        <w:tab w:val="right" w:pos="8640"/>
      </w:tabs>
    </w:pPr>
  </w:style>
  <w:style w:type="paragraph" w:customStyle="1" w:styleId="BGKeywords">
    <w:name w:val="BG_Keywords"/>
    <w:basedOn w:val="Normal"/>
    <w:next w:val="BHBriefs"/>
    <w:autoRedefine/>
    <w:qFormat/>
    <w:rsid w:val="00AC5F97"/>
    <w:pPr>
      <w:spacing w:after="220"/>
      <w:jc w:val="left"/>
    </w:pPr>
    <w:rPr>
      <w:rFonts w:ascii="Arno Pro" w:hAnsi="Arno Pro"/>
      <w:i/>
      <w:kern w:val="2"/>
      <w:sz w:val="20"/>
    </w:rPr>
  </w:style>
  <w:style w:type="paragraph" w:customStyle="1" w:styleId="BHBriefs">
    <w:name w:val="BH_Briefs"/>
    <w:basedOn w:val="Normal"/>
    <w:next w:val="BDAbstract"/>
    <w:autoRedefine/>
    <w:qFormat/>
    <w:rsid w:val="000E75E3"/>
    <w:pPr>
      <w:spacing w:before="180" w:after="60"/>
      <w:jc w:val="left"/>
    </w:pPr>
    <w:rPr>
      <w:rFonts w:ascii="Arno Pro" w:hAnsi="Arno Pro"/>
      <w:kern w:val="2"/>
      <w:sz w:val="20"/>
    </w:rPr>
  </w:style>
  <w:style w:type="paragraph" w:styleId="Textodeglobo">
    <w:name w:val="Balloon Text"/>
    <w:basedOn w:val="Normal"/>
    <w:semiHidden/>
    <w:qFormat/>
    <w:rsid w:val="00E96302"/>
    <w:rPr>
      <w:rFonts w:ascii="Tahoma" w:hAnsi="Tahoma" w:cs="Tahoma"/>
      <w:sz w:val="16"/>
      <w:szCs w:val="16"/>
    </w:rPr>
  </w:style>
  <w:style w:type="paragraph" w:customStyle="1" w:styleId="StyleTCTableBodyBold">
    <w:name w:val="Style TC_Table_Body + Bold"/>
    <w:basedOn w:val="TCTableBody"/>
    <w:link w:val="StyleTCTableBodyBoldChar"/>
    <w:qFormat/>
    <w:rsid w:val="000E75E3"/>
    <w:rPr>
      <w:b/>
      <w:bCs/>
      <w:sz w:val="15"/>
    </w:rPr>
  </w:style>
  <w:style w:type="paragraph" w:customStyle="1" w:styleId="BDAbstractTitle">
    <w:name w:val="BD_Abstract_Title"/>
    <w:basedOn w:val="BDAbstract"/>
    <w:link w:val="BDAbstractTitleChar"/>
    <w:qFormat/>
    <w:rsid w:val="006532A9"/>
    <w:rPr>
      <w:b/>
    </w:rPr>
  </w:style>
  <w:style w:type="paragraph" w:customStyle="1" w:styleId="TDAckTitle">
    <w:name w:val="TD_Ack_Title"/>
    <w:basedOn w:val="TDAcknowledgments"/>
    <w:link w:val="TDAckTitleChar"/>
    <w:qFormat/>
    <w:rsid w:val="00AC5F97"/>
    <w:pPr>
      <w:spacing w:before="180" w:after="60"/>
    </w:pPr>
    <w:rPr>
      <w:rFonts w:ascii="Myriad Pro Light" w:hAnsi="Myriad Pro Light"/>
      <w:b/>
      <w:sz w:val="21"/>
    </w:rPr>
  </w:style>
  <w:style w:type="paragraph" w:customStyle="1" w:styleId="TESupportingInfoTitle">
    <w:name w:val="TE_Supporting_Info_Title"/>
    <w:basedOn w:val="TESupportingInformation"/>
    <w:autoRedefine/>
    <w:qFormat/>
    <w:rsid w:val="00141659"/>
    <w:pPr>
      <w:spacing w:before="180" w:after="60"/>
    </w:pPr>
    <w:rPr>
      <w:rFonts w:ascii="Myriad Pro Light" w:hAnsi="Myriad Pro Light"/>
      <w:b/>
      <w:caps/>
      <w:sz w:val="21"/>
      <w:szCs w:val="18"/>
    </w:rPr>
  </w:style>
  <w:style w:type="paragraph" w:customStyle="1" w:styleId="AuthorInformationTitle">
    <w:name w:val="Author_Information_Title"/>
    <w:basedOn w:val="TDAckTitle"/>
    <w:qFormat/>
    <w:rsid w:val="00AC5F97"/>
  </w:style>
  <w:style w:type="paragraph" w:customStyle="1" w:styleId="FAAuthorInfoSubtitle">
    <w:name w:val="FA_Author_Info_Subtitle"/>
    <w:basedOn w:val="Normal"/>
    <w:link w:val="FAAuthorInfoSubtitleChar"/>
    <w:autoRedefine/>
    <w:qFormat/>
    <w:rsid w:val="00DE78D2"/>
    <w:pPr>
      <w:spacing w:before="120" w:after="60"/>
      <w:jc w:val="left"/>
    </w:pPr>
    <w:rPr>
      <w:rFonts w:ascii="Myriad Pro Light" w:hAnsi="Myriad Pro Light"/>
      <w:b/>
      <w:kern w:val="2"/>
      <w:sz w:val="19"/>
      <w:szCs w:val="14"/>
    </w:rPr>
  </w:style>
  <w:style w:type="paragraph" w:customStyle="1" w:styleId="Contenidodelmarco">
    <w:name w:val="Contenido del marco"/>
    <w:basedOn w:val="Normal"/>
    <w:qFormat/>
  </w:style>
  <w:style w:type="paragraph" w:styleId="Encabezado">
    <w:name w:val="header"/>
    <w:basedOn w:val="Cabeceraypie"/>
  </w:style>
  <w:style w:type="numbering" w:customStyle="1" w:styleId="Ningunalista">
    <w:name w:val="Ninguna lista"/>
    <w:uiPriority w:val="99"/>
    <w:semiHidden/>
    <w:unhideWhenUsed/>
    <w:qFormat/>
  </w:style>
  <w:style w:type="character" w:styleId="Mencinsinresolver">
    <w:name w:val="Unresolved Mention"/>
    <w:basedOn w:val="Fuentedeprrafopredeter"/>
    <w:uiPriority w:val="99"/>
    <w:semiHidden/>
    <w:unhideWhenUsed/>
    <w:rsid w:val="00B13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317731">
      <w:bodyDiv w:val="1"/>
      <w:marLeft w:val="0"/>
      <w:marRight w:val="0"/>
      <w:marTop w:val="0"/>
      <w:marBottom w:val="0"/>
      <w:divBdr>
        <w:top w:val="none" w:sz="0" w:space="0" w:color="auto"/>
        <w:left w:val="none" w:sz="0" w:space="0" w:color="auto"/>
        <w:bottom w:val="none" w:sz="0" w:space="0" w:color="auto"/>
        <w:right w:val="none" w:sz="0" w:space="0" w:color="auto"/>
      </w:divBdr>
    </w:div>
    <w:div w:id="1538657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hyperlink" Target="https://doi.org/10.3390/ijms21165933"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hyperlink" Target="https://doi.org/10.1111/j.1755-5949.2008.00047.x"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16/S0959-440X(00)00194-9" TargetMode="Externa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doi.org/10.1016/S0140-6736(04)16305-8" TargetMode="External"/><Relationship Id="rId5" Type="http://schemas.openxmlformats.org/officeDocument/2006/relationships/endnotes" Target="endnotes.xml"/><Relationship Id="rId15" Type="http://schemas.openxmlformats.org/officeDocument/2006/relationships/hyperlink" Target="https://doi.org/10.1002/jcc.23702" TargetMode="External"/><Relationship Id="rId10" Type="http://schemas.openxmlformats.org/officeDocument/2006/relationships/hyperlink" Target="https://doi.org/10.1517/14728222.10.4.515" TargetMode="External"/><Relationship Id="rId4" Type="http://schemas.openxmlformats.org/officeDocument/2006/relationships/footnotes" Target="footnotes.xml"/><Relationship Id="rId9" Type="http://schemas.openxmlformats.org/officeDocument/2006/relationships/hyperlink" Target="https://doi.org/10.1124/pr.110.002642" TargetMode="External"/><Relationship Id="rId14" Type="http://schemas.openxmlformats.org/officeDocument/2006/relationships/hyperlink" Target="https://doi.org/10.1016/j.softx.2015.06.00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939</Words>
  <Characters>5165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Template for Electronic Submission to ACS Journals</vt:lpstr>
    </vt:vector>
  </TitlesOfParts>
  <Company>ACS</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Jana Selent</dc:creator>
  <dc:description/>
  <cp:lastModifiedBy>Admin</cp:lastModifiedBy>
  <cp:revision>8</cp:revision>
  <cp:lastPrinted>2011-04-15T21:20:00Z</cp:lastPrinted>
  <dcterms:created xsi:type="dcterms:W3CDTF">2019-06-03T18:15:00Z</dcterms:created>
  <dcterms:modified xsi:type="dcterms:W3CDTF">2026-05-19T19:01:00Z</dcterms:modified>
  <dc:language>es-ES</dc:language>
</cp:coreProperties>
</file>