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Полвонов</w:t>
      </w:r>
      <w:r>
        <w:t xml:space="preserve"> </w:t>
      </w:r>
      <w:r>
        <w:t xml:space="preserve">Нуриддин</w:t>
      </w:r>
      <w:r>
        <w:t xml:space="preserve"> </w:t>
      </w:r>
      <w:r>
        <w:t xml:space="preserve">Абдуджалилович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735400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564909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436046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973753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356102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53412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4731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21506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438296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79155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535283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455227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Полвонов Нуриддин Абдуджалилович НБИбд-01-21</dc:creator>
  <dc:language>ru-RU</dc:language>
  <cp:keywords/>
  <dcterms:created xsi:type="dcterms:W3CDTF">2022-08-28T14:11:40Z</dcterms:created>
  <dcterms:modified xsi:type="dcterms:W3CDTF">2022-08-28T14:11:40Z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