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KR" w:hAnsi="Noto Sans CJK KR"/>
          <w:b/>
          <w:color w:val="006D77"/>
          <w:sz w:val="36"/>
        </w:rPr>
        <w:t>NeX PLATFORM</w:t>
      </w:r>
    </w:p>
    <w:p>
      <w:pPr>
        <w:spacing w:before="567"/>
        <w:jc w:val="center"/>
      </w:pPr>
      <w:r>
        <w:rPr>
          <w:rFonts w:ascii="Noto Sans CJK KR" w:hAnsi="Noto Sans CJK KR"/>
          <w:b/>
          <w:color w:val="16324F"/>
          <w:sz w:val="54"/>
        </w:rPr>
        <w:t>시스템 기동·종료 절차서</w:t>
      </w:r>
    </w:p>
    <w:p>
      <w:pPr>
        <w:jc w:val="center"/>
      </w:pPr>
      <w:r>
        <w:rPr>
          <w:b/>
          <w:sz w:val="28"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기준 태그</w:t>
            </w:r>
          </w:p>
        </w:tc>
        <w:tc>
          <w:tcPr>
            <w:tcW w:type="dxa" w:w="4762"/>
            <w:vAlign w:val="center"/>
          </w:tcPr>
          <w:p>
            <w:r>
              <w:t>v1.0</w:t>
            </w:r>
          </w:p>
        </w:tc>
      </w:tr>
      <w:tr>
        <w:tc>
          <w:tcPr>
            <w:tcW w:type="dxa" w:w="4762"/>
            <w:vAlign w:val="center"/>
          </w:tcPr>
          <w:p>
            <w:r>
              <w:t>기준 commit</w:t>
            </w:r>
          </w:p>
        </w:tc>
        <w:tc>
          <w:tcPr>
            <w:tcW w:type="dxa" w:w="4762"/>
            <w:vAlign w:val="center"/>
          </w:tcPr>
          <w:p>
            <w:r>
              <w:t>ab7af0fc</w:t>
            </w:r>
          </w:p>
        </w:tc>
      </w:tr>
      <w:tr>
        <w:tc>
          <w:tcPr>
            <w:tcW w:type="dxa" w:w="4762"/>
            <w:vAlign w:val="center"/>
          </w:tcPr>
          <w:p>
            <w:r>
              <w:t>지원 구성</w:t>
            </w:r>
          </w:p>
        </w:tc>
        <w:tc>
          <w:tcPr>
            <w:tcW w:type="dxa" w:w="4762"/>
            <w:vAlign w:val="center"/>
          </w:tcPr>
          <w:p>
            <w:r>
              <w:t>Single-host Docker Compose</w:t>
            </w:r>
          </w:p>
        </w:tc>
      </w:tr>
      <w:tr>
        <w:tc>
          <w:tcPr>
            <w:tcW w:type="dxa" w:w="4762"/>
            <w:vAlign w:val="center"/>
          </w:tcPr>
          <w:p>
            <w:r>
              <w:t>대상 독자</w:t>
            </w:r>
          </w:p>
        </w:tc>
        <w:tc>
          <w:tcPr>
            <w:tcW w:type="dxa" w:w="4762"/>
            <w:vAlign w:val="center"/>
          </w:tcPr>
          <w:p>
            <w:r>
              <w:t>시스템 운영자</w:t>
            </w:r>
          </w:p>
        </w:tc>
      </w:tr>
      <w:tr>
        <w:tc>
          <w:tcPr>
            <w:tcW w:type="dxa" w:w="4762"/>
            <w:vAlign w:val="center"/>
          </w:tcPr>
          <w:p>
            <w:r>
              <w:t>보안 등급</w:t>
            </w:r>
          </w:p>
        </w:tc>
        <w:tc>
          <w:tcPr>
            <w:tcW w:type="dxa" w:w="4762"/>
            <w:vAlign w:val="center"/>
          </w:tcPr>
          <w:p>
            <w:r>
              <w:t>사내 운영 문서</w:t>
            </w:r>
          </w:p>
        </w:tc>
      </w:tr>
    </w:tbl>
    <w:p/>
    <w:p>
      <w:pPr>
        <w:jc w:val="center"/>
      </w:pPr>
      <w:r>
        <w:rPr>
          <w:i/>
        </w:rPr>
        <w:t>이 문서는 v1.0 코드 기준선을 설명합니다. 실제 운영 배포 승인은 별도 release governance를 따릅니다.</w:t>
      </w:r>
    </w:p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DE9EC"/>
          </w:tcPr>
          <w:p>
            <w:r>
              <w:t>버전</w:t>
            </w:r>
          </w:p>
        </w:tc>
        <w:tc>
          <w:tcPr>
            <w:tcW w:type="dxa" w:w="2381"/>
            <w:shd w:fill="DDE9EC"/>
          </w:tcPr>
          <w:p>
            <w:r>
              <w:t>일자</w:t>
            </w:r>
          </w:p>
        </w:tc>
        <w:tc>
          <w:tcPr>
            <w:tcW w:type="dxa" w:w="2381"/>
            <w:shd w:fill="DDE9EC"/>
          </w:tcPr>
          <w:p>
            <w:r>
              <w:t>기준</w:t>
            </w:r>
          </w:p>
        </w:tc>
        <w:tc>
          <w:tcPr>
            <w:tcW w:type="dxa" w:w="2381"/>
            <w:shd w:fill="DDE9EC"/>
          </w:tcPr>
          <w:p>
            <w:r>
              <w:t>내용</w:t>
            </w:r>
          </w:p>
        </w:tc>
      </w:tr>
      <w:tr>
        <w:tc>
          <w:tcPr>
            <w:tcW w:type="dxa" w:w="2381"/>
          </w:tcPr>
          <w:p>
            <w:r>
              <w:t>1.0</w:t>
            </w:r>
          </w:p>
        </w:tc>
        <w:tc>
          <w:tcPr>
            <w:tcW w:type="dxa" w:w="2381"/>
          </w:tcPr>
          <w:p>
            <w:r>
              <w:t>2026-10-09</w:t>
            </w:r>
          </w:p>
        </w:tc>
        <w:tc>
          <w:tcPr>
            <w:tcW w:type="dxa" w:w="2381"/>
          </w:tcPr>
          <w:p>
            <w:r>
              <w:t>ab7af0fc</w:t>
            </w:r>
          </w:p>
        </w:tc>
        <w:tc>
          <w:tcPr>
            <w:tcW w:type="dxa" w:w="2381"/>
          </w:tcPr>
          <w:p>
            <w:r>
              <w:t>최초 발행</w:t>
            </w:r>
          </w:p>
        </w:tc>
      </w:tr>
    </w:tbl>
    <w:p/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문서를 열었을 때 목차 업데이트가 필요하면 전체 필드를 갱신하십시오.</w:t>
      </w:r>
    </w:p>
    <w:p>
      <w:r>
        <w:br w:type="page"/>
      </w:r>
    </w:p>
    <w:p>
      <w:pPr>
        <w:pStyle w:val="Heading2"/>
      </w:pPr>
      <w:r>
        <w:t>1. 목적과 안전 경계</w:t>
      </w:r>
    </w:p>
    <w:p>
      <w:r>
        <w:t>이 문서는 Single-host Docker Compose 기반 v1.0의 정상 기동, 상태 확인, 재기동, 정상 종료와 비상 종료 기준을 정의한다.</w:t>
      </w:r>
    </w:p>
    <w:p>
      <w:pPr>
        <w:spacing w:before="100" w:after="140"/>
        <w:ind w:left="340" w:right="227"/>
        <w:shd w:fill="FFF4D6"/>
      </w:pPr>
      <w:r>
        <w:rPr>
          <w:b/>
        </w:rPr>
        <w:t xml:space="preserve">주의  </w:t>
      </w:r>
      <w:r>
        <w:t xml:space="preserve">현재 release decision은 </w:t>
      </w:r>
      <w:r>
        <w:rPr>
          <w:rFonts w:ascii="Liberation Mono" w:hAnsi="Liberation Mono"/>
          <w:sz w:val="18"/>
        </w:rPr>
        <w:t>NO_GO</w:t>
      </w:r>
      <w:r>
        <w:t>다. 아래 production-shaped 명령은 승인된 staging 또는 별도 change window에서만 실행하며, 문서 자체는 production 배포 승인이 아니다.</w:t>
      </w:r>
    </w:p>
    <w:p>
      <w:pPr>
        <w:pStyle w:val="Heading2"/>
      </w:pPr>
      <w:r>
        <w:t>2. 프로세스 구성</w:t>
      </w:r>
    </w:p>
    <w:p>
      <w:r>
        <w:t>v1.0 runtime manifest는 6개 network process와 7개 background process를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계층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구성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Control·edge</w:t>
            </w:r>
          </w:p>
        </w:tc>
        <w:tc>
          <w:tcPr>
            <w:tcW w:type="dxa" w:w="4762"/>
            <w:vAlign w:val="center"/>
          </w:tcPr>
          <w:p>
            <w:r/>
            <w:r>
              <w:t>OpenBao, Traefik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Storage</w:t>
            </w:r>
          </w:p>
        </w:tc>
        <w:tc>
          <w:tcPr>
            <w:tcW w:type="dxa" w:w="4762"/>
            <w:vAlign w:val="center"/>
          </w:tcPr>
          <w:p>
            <w:r/>
            <w:r>
              <w:t>PostgreSQL 5개 database, RustFS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API·Web</w:t>
            </w:r>
          </w:p>
        </w:tc>
        <w:tc>
          <w:tcPr>
            <w:tcW w:type="dxa" w:w="4762"/>
            <w:vAlign w:val="center"/>
          </w:tcPr>
          <w:p>
            <w:r/>
            <w:r>
              <w:t>OA, MO, CX, AE API, AG, AE Web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Background</w:t>
            </w:r>
          </w:p>
        </w:tc>
        <w:tc>
          <w:tcPr>
            <w:tcW w:type="dxa" w:w="4762"/>
            <w:vAlign w:val="center"/>
          </w:tcPr>
          <w:p>
            <w:r/>
            <w:r>
              <w:t>AE artifact worker, AE retention daemon, AG remediation worker, AG dispatch daemon, CX generation worker, CX ingestion worker, CX remediation worker</w:t>
            </w:r>
          </w:p>
        </w:tc>
      </w:tr>
    </w:tbl>
    <w:p/>
    <w:p>
      <w:r>
        <w:t xml:space="preserve">S143 Compose는 6개 application image의 staging acceptance 파일이다. 7개 background process는 동일 owner image와 </w:t>
      </w:r>
      <w:r>
        <w:rPr>
          <w:rFonts w:ascii="Liberation Mono" w:hAnsi="Liberation Mono"/>
          <w:sz w:val="18"/>
        </w:rPr>
        <w:t>nex_runtime.background_process</w:t>
      </w:r>
      <w:r>
        <w:t xml:space="preserve"> command를 사용하지만, production process declaration과 scheduling은 release approval 전에 별도로 검토해야 한다.</w:t>
      </w:r>
    </w:p>
    <w:p>
      <w:pPr>
        <w:pStyle w:val="Heading2"/>
      </w:pPr>
      <w:r>
        <w:t>3. 기동 전 점검</w:t>
      </w:r>
    </w:p>
    <w:p>
      <w:pPr>
        <w:pStyle w:val="ListNumber"/>
      </w:pPr>
      <w:r>
        <w:t>승인된 release candidate ID와 6개 image digest를 확인한다.</w:t>
      </w:r>
    </w:p>
    <w:p>
      <w:pPr>
        <w:pStyle w:val="ListNumber"/>
      </w:pPr>
      <w:r>
        <w:t>change window와 rollback 담당자를 확인한다.</w:t>
      </w:r>
    </w:p>
    <w:p>
      <w:pPr>
        <w:pStyle w:val="ListNumber"/>
      </w:pPr>
      <w:r>
        <w:t>디스크, inode, memory, Docker daemon과 host clock을 확인한다.</w:t>
      </w:r>
    </w:p>
    <w:p>
      <w:pPr>
        <w:pStyle w:val="ListNumber"/>
      </w:pPr>
      <w:r>
        <w:t>PostgreSQL 5개 database가 연결 가능하고 migration current인지 확인한다.</w:t>
      </w:r>
    </w:p>
    <w:p>
      <w:pPr>
        <w:pStyle w:val="ListNumber"/>
      </w:pPr>
      <w:r>
        <w:t>OpenBao unseal·policy·PKI와 runtime secret generation을 확인한다.</w:t>
      </w:r>
    </w:p>
    <w:p>
      <w:pPr>
        <w:pStyle w:val="ListNumber"/>
      </w:pPr>
      <w:r>
        <w:t>RustFS volume과 CX/AE bucket readiness를 확인한다.</w:t>
      </w:r>
    </w:p>
    <w:p>
      <w:pPr>
        <w:pStyle w:val="ListNumber"/>
      </w:pPr>
      <w:r>
        <w:t>generation, embedding, reranker provider readiness와 revision을 확인한다.</w:t>
      </w:r>
    </w:p>
    <w:p>
      <w:pPr>
        <w:pStyle w:val="ListNumber"/>
      </w:pPr>
      <w:r>
        <w:t>이전 Compose project와 orphan container가 없는지 확인한다.</w:t>
      </w:r>
    </w:p>
    <w:p>
      <w:pPr>
        <w:pStyle w:val="CodeBlock"/>
      </w:pPr>
      <w:r>
        <w:t>docker version</w:t>
        <w:br/>
        <w:t>docker compose version</w:t>
        <w:br/>
        <w:t>docker ps --format '{{.Names}} {{.Status}}'</w:t>
        <w:br/>
        <w:t>./.venv/bin/python scripts/dev/run_platform.py --profile staging_live --check-config</w:t>
      </w:r>
    </w:p>
    <w:p>
      <w:r>
        <w:t>config check는 process를 시작하지 않는다. raw database URL, token, key를 화면이나 log에 출력하면 즉시 중지한다.</w:t>
      </w:r>
    </w:p>
    <w:p>
      <w:pPr>
        <w:pStyle w:val="Heading2"/>
      </w:pPr>
      <w:r>
        <w:t>4. 기동 순서</w:t>
      </w:r>
    </w:p>
    <w:p>
      <w:pPr>
        <w:pStyle w:val="Heading3"/>
      </w:pPr>
      <w:r>
        <w:t>4.1 구성 고정</w:t>
      </w:r>
    </w:p>
    <w:p>
      <w:pPr>
        <w:pStyle w:val="CodeBlock"/>
      </w:pPr>
      <w:r>
        <w:t>export COMPOSE_PROJECT_NAME=nex-platform-v1</w:t>
        <w:br/>
        <w:t>export NEX_S143_RUNTIME_DIR=/data/nex-platform/runtime</w:t>
        <w:br/>
        <w:br/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config --quiet</w:t>
      </w:r>
    </w:p>
    <w:p>
      <w:pPr>
        <w:pStyle w:val="Heading3"/>
      </w:pPr>
      <w:r>
        <w:t>4.2 Control과 storage</w:t>
      </w:r>
    </w:p>
    <w:p>
      <w:pPr>
        <w:pStyle w:val="ListNumber"/>
      </w:pPr>
      <w:r>
        <w:rPr>
          <w:rFonts w:ascii="Liberation Mono" w:hAnsi="Liberation Mono"/>
          <w:sz w:val="18"/>
        </w:rPr>
        <w:t>openbao-data-init</w:t>
      </w:r>
      <w:r>
        <w:t>을 실행해 volume owner를 확인한다.</w:t>
      </w:r>
    </w:p>
    <w:p>
      <w:pPr>
        <w:pStyle w:val="ListNumber"/>
      </w:pPr>
      <w:r>
        <w:t>OpenBao를 시작하고 health가 정상인지 확인한다.</w:t>
      </w:r>
    </w:p>
    <w:p>
      <w:pPr>
        <w:pStyle w:val="ListNumber"/>
      </w:pPr>
      <w:r>
        <w:t>Traefik을 시작하고 ping·certificate를 확인한다.</w:t>
      </w:r>
    </w:p>
    <w:p>
      <w:pPr>
        <w:pStyle w:val="ListNumber"/>
      </w:pPr>
      <w:r>
        <w:t>RustFS를 시작하고 internal health와 bucket policy를 확인한다.</w:t>
      </w:r>
    </w:p>
    <w:p>
      <w:pPr>
        <w:pStyle w:val="CodeBlock"/>
      </w:pPr>
      <w:r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up -d openbao-data-init openbao traefik rustfs</w:t>
      </w:r>
    </w:p>
    <w:p>
      <w:pPr>
        <w:pStyle w:val="Heading3"/>
      </w:pPr>
      <w:r>
        <w:t>4.3 API와 Web</w:t>
      </w:r>
    </w:p>
    <w:p>
      <w:r>
        <w:t>서비스 의존 순서는 OA → MO → CX → AE API → AG → AE Web이다.</w:t>
      </w:r>
    </w:p>
    <w:p>
      <w:pPr>
        <w:pStyle w:val="CodeBlock"/>
      </w:pPr>
      <w:r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up -d nex-oa nex-mo nex-cx nex-ae-api nex-ag nex-ae-web</w:t>
      </w:r>
    </w:p>
    <w:p>
      <w:r>
        <w:t xml:space="preserve">Compose dependency만 신뢰하지 말고 각 서비스 </w:t>
      </w:r>
      <w:r>
        <w:rPr>
          <w:rFonts w:ascii="Liberation Mono" w:hAnsi="Liberation Mono"/>
          <w:sz w:val="18"/>
        </w:rPr>
        <w:t>/ready</w:t>
      </w:r>
      <w:r>
        <w:t>가 성공한 뒤 다음 계층을 승인한다.</w:t>
      </w:r>
    </w:p>
    <w:p>
      <w:pPr>
        <w:pStyle w:val="Heading3"/>
      </w:pPr>
      <w:r>
        <w:t>4.4 Background process</w:t>
      </w:r>
    </w:p>
    <w:p>
      <w:r>
        <w:t xml:space="preserve">Background process는 API readiness와 migration을 확인한 뒤 시작한다. 각 process는 시작 시 restart reconciliation을 완료하고 lease를 획득하기 전에 owner database와 downstream readiness를 확인해야 한다. 현재 S143 Compose에 background service declaration이 없으므로 승인되지 않은 ad-hoc </w:t>
      </w:r>
      <w:r>
        <w:rPr>
          <w:rFonts w:ascii="Liberation Mono" w:hAnsi="Liberation Mono"/>
          <w:sz w:val="18"/>
        </w:rPr>
        <w:t>docker run</w:t>
      </w:r>
      <w:r>
        <w:t>으로 보완하지 않는다.</w:t>
      </w:r>
    </w:p>
    <w:p>
      <w:pPr>
        <w:pStyle w:val="Heading2"/>
      </w:pPr>
      <w:r>
        <w:t>5. 기동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8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_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8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1. 서비스 readiness와 AE Web runtime 진단</w:t>
      </w:r>
    </w:p>
    <w:p>
      <w:r>
        <w:t>화면의 service badge는 사용자 관점의 보조 신호다. 최종 기동 판정은 다음을 모두 만족해야 한다.</w:t>
      </w:r>
    </w:p>
    <w:p>
      <w:pPr>
        <w:pStyle w:val="ListBullet"/>
      </w:pPr>
      <w:r>
        <w:t>6개 network process의 health와 readiness 성공</w:t>
      </w:r>
    </w:p>
    <w:p>
      <w:pPr>
        <w:pStyle w:val="ListBullet"/>
      </w:pPr>
      <w:r>
        <w:t xml:space="preserve">7개 background process의 heartbeat 또는 </w:t>
      </w:r>
      <w:r>
        <w:rPr>
          <w:rFonts w:ascii="Liberation Mono" w:hAnsi="Liberation Mono"/>
          <w:sz w:val="18"/>
        </w:rPr>
        <w:t>--check</w:t>
      </w:r>
      <w:r>
        <w:t xml:space="preserve"> 성공</w:t>
      </w:r>
    </w:p>
    <w:p>
      <w:pPr>
        <w:pStyle w:val="ListBullet"/>
      </w:pPr>
      <w:r>
        <w:t>PostgreSQL pool 생성과 migration head 일치</w:t>
      </w:r>
    </w:p>
    <w:p>
      <w:pPr>
        <w:pStyle w:val="ListBullet"/>
      </w:pPr>
      <w:r>
        <w:t>RustFS private bucket 접근·교차 owner 거부</w:t>
      </w:r>
    </w:p>
    <w:p>
      <w:pPr>
        <w:pStyle w:val="ListBullet"/>
      </w:pPr>
      <w:r>
        <w:t>세 provider capability readiness와 calibration 유효</w:t>
      </w:r>
    </w:p>
    <w:p>
      <w:pPr>
        <w:pStyle w:val="ListBullet"/>
      </w:pPr>
      <w:r>
        <w:t>OA signed token 발급·검증과 cross-service deny flow 정상</w:t>
      </w:r>
    </w:p>
    <w:p>
      <w:pPr>
        <w:pStyle w:val="ListBullet"/>
      </w:pPr>
      <w:r>
        <w:t>AG signal freshness와 alert pipeline 정상</w:t>
      </w:r>
    </w:p>
    <w:p>
      <w:pPr>
        <w:pStyle w:val="ListBullet"/>
      </w:pPr>
      <w:r>
        <w:t>secret, certificate, model revision drift 없음</w:t>
      </w:r>
    </w:p>
    <w:p>
      <w:pPr>
        <w:pStyle w:val="Heading2"/>
      </w:pPr>
      <w:r>
        <w:t>6. 정상 종료</w:t>
      </w:r>
    </w:p>
    <w:p>
      <w:pPr>
        <w:pStyle w:val="ListNumber"/>
      </w:pPr>
      <w:r>
        <w:t>신규 사용자 요청과 upload admission을 중단한다.</w:t>
      </w:r>
    </w:p>
    <w:p>
      <w:pPr>
        <w:pStyle w:val="ListNumber"/>
      </w:pPr>
      <w:r>
        <w:t>background claim을 중단하고 in-flight job을 drain한다.</w:t>
      </w:r>
    </w:p>
    <w:p>
      <w:pPr>
        <w:pStyle w:val="ListNumber"/>
      </w:pPr>
      <w:r>
        <w:t>artifact·generation·ingestion checkpoint가 durable한지 확인한다.</w:t>
      </w:r>
    </w:p>
    <w:p>
      <w:pPr>
        <w:pStyle w:val="ListNumber"/>
      </w:pPr>
      <w:r>
        <w:t>AE Web을 종료한다.</w:t>
      </w:r>
    </w:p>
    <w:p>
      <w:pPr>
        <w:pStyle w:val="ListNumber"/>
      </w:pPr>
      <w:r>
        <w:t>AG → AE API → CX → MO → OA 역순으로 종료한다.</w:t>
      </w:r>
    </w:p>
    <w:p>
      <w:pPr>
        <w:pStyle w:val="ListNumber"/>
      </w:pPr>
      <w:r>
        <w:t>RustFS, Traefik, OpenBao를 종료한다.</w:t>
      </w:r>
    </w:p>
    <w:p>
      <w:pPr>
        <w:pStyle w:val="ListNumber"/>
      </w:pPr>
      <w:r>
        <w:t>PostgreSQL은 별도 운영 자산이므로 application Compose 종료와 함께 내리지 않는다.</w:t>
      </w:r>
    </w:p>
    <w:p>
      <w:pPr>
        <w:pStyle w:val="CodeBlock"/>
      </w:pPr>
      <w:r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stop nex-ae-web nex-ag nex-ae-api nex-cx nex-mo nex-oa rustfs traefik openbao</w:t>
      </w:r>
    </w:p>
    <w:p>
      <w:r>
        <w:t>종료 후 container는 남아 있을 수 있지만 실행 중인 process, 열린 lease, 임시 route override와 run-scoped secret은 없어야 한다.</w:t>
      </w:r>
    </w:p>
    <w:p>
      <w:pPr>
        <w:pStyle w:val="Heading2"/>
      </w:pPr>
      <w:r>
        <w:t>7. 완전 제거와 보존</w:t>
      </w:r>
    </w:p>
    <w:p>
      <w:r>
        <w:t>staging acceptance를 정리할 때만 다음 명령을 사용한다.</w:t>
      </w:r>
    </w:p>
    <w:p>
      <w:pPr>
        <w:pStyle w:val="CodeBlock"/>
      </w:pPr>
      <w:r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down --remove-orphans</w:t>
      </w:r>
    </w:p>
    <w:p>
      <w:r>
        <w:rPr>
          <w:rFonts w:ascii="Liberation Mono" w:hAnsi="Liberation Mono"/>
          <w:sz w:val="18"/>
        </w:rPr>
        <w:t>--volumes</w:t>
      </w:r>
      <w:r>
        <w:t>는 데이터 삭제 승인을 받은 ephemeral acceptance에만 사용한다. PostgreSQL backup, OpenBao Raft, RustFS data volume을 자동 삭제하지 않는다.</w:t>
      </w:r>
    </w:p>
    <w:p>
      <w:pPr>
        <w:pStyle w:val="Heading2"/>
      </w:pPr>
      <w:r>
        <w:t>8. 재기동과 복구</w:t>
      </w:r>
    </w:p>
    <w:p>
      <w:pPr>
        <w:pStyle w:val="Heading3"/>
      </w:pPr>
      <w:r>
        <w:t>8.1 Application process 장애</w:t>
      </w:r>
    </w:p>
    <w:p>
      <w:pPr>
        <w:pStyle w:val="ListBullet"/>
      </w:pPr>
      <w:r>
        <w:t>장애 서비스의 readiness와 최근 trace를 확인한다.</w:t>
      </w:r>
    </w:p>
    <w:p>
      <w:pPr>
        <w:pStyle w:val="ListBullet"/>
      </w:pPr>
      <w:r>
        <w:t>owner database와 downstream service가 정상인지 확인한다.</w:t>
      </w:r>
    </w:p>
    <w:p>
      <w:pPr>
        <w:pStyle w:val="ListBullet"/>
      </w:pPr>
      <w:r>
        <w:t>동일 image digest와 config generation으로 한 번만 재생성한다.</w:t>
      </w:r>
    </w:p>
    <w:p>
      <w:pPr>
        <w:pStyle w:val="ListBullet"/>
      </w:pPr>
      <w:r>
        <w:t>restart read model과 lease reconciliation을 확인한다.</w:t>
      </w:r>
    </w:p>
    <w:p>
      <w:pPr>
        <w:pStyle w:val="Heading3"/>
      </w:pPr>
      <w:r>
        <w:t>8.2 PostgreSQL 장애</w:t>
      </w:r>
    </w:p>
    <w:p>
      <w:pPr>
        <w:pStyle w:val="ListBullet"/>
      </w:pPr>
      <w:r>
        <w:t>해당 서비스의 write와 worker claim을 중지한다.</w:t>
      </w:r>
    </w:p>
    <w:p>
      <w:pPr>
        <w:pStyle w:val="ListBullet"/>
      </w:pPr>
      <w:r>
        <w:t>isolated restore 또는 whole-cluster PITR 절차를 따른다.</w:t>
      </w:r>
    </w:p>
    <w:p>
      <w:pPr>
        <w:pStyle w:val="ListBullet"/>
      </w:pPr>
      <w:r>
        <w:t>자동 failover나 in-place overwrite를 수행하지 않는다.</w:t>
      </w:r>
    </w:p>
    <w:p>
      <w:pPr>
        <w:pStyle w:val="Heading3"/>
      </w:pPr>
      <w:r>
        <w:t>8.3 Provider 장애</w:t>
      </w:r>
    </w:p>
    <w:p>
      <w:pPr>
        <w:pStyle w:val="ListBullet"/>
      </w:pPr>
      <w:r>
        <w:t>MO에서 capability별 readiness와 revision을 확인한다.</w:t>
      </w:r>
    </w:p>
    <w:p>
      <w:pPr>
        <w:pStyle w:val="ListBullet"/>
      </w:pPr>
      <w:r>
        <w:t>generation, embedding, reranker를 서로 대체하지 않는다.</w:t>
      </w:r>
    </w:p>
    <w:p>
      <w:pPr>
        <w:pStyle w:val="ListBullet"/>
      </w:pPr>
      <w:r>
        <w:t>retry budget 소진 시 degraded/no-answer 상태를 유지한다.</w:t>
      </w:r>
    </w:p>
    <w:p>
      <w:pPr>
        <w:pStyle w:val="Heading3"/>
      </w:pPr>
      <w:r>
        <w:t>8.4 Host 장애</w:t>
      </w:r>
    </w:p>
    <w:p>
      <w:r>
        <w:t>Single-host v1.0은 host failover를 제공하지 않는다. host 복구 후 PostgreSQL, OpenBao, RustFS, API, worker 순서로 상태를 재구성하고 AG에서 durable state와 zero-residue 여부를 확인한다.</w:t>
      </w:r>
    </w:p>
    <w:p>
      <w:pPr>
        <w:pStyle w:val="Heading2"/>
      </w:pPr>
      <w:r>
        <w:t>9. 비상 종료 기준</w:t>
      </w:r>
    </w:p>
    <w:p>
      <w:r>
        <w:t>다음 상황에서는 drain보다 즉시 차단을 우선한다.</w:t>
      </w:r>
    </w:p>
    <w:p>
      <w:pPr>
        <w:pStyle w:val="ListBullet"/>
      </w:pPr>
      <w:r>
        <w:t>credential·private payload가 log 또는 report에 노출됨</w:t>
      </w:r>
    </w:p>
    <w:p>
      <w:pPr>
        <w:pStyle w:val="ListBullet"/>
      </w:pPr>
      <w:r>
        <w:t>잘못된 tenant/owner 접근이 관찰됨</w:t>
      </w:r>
    </w:p>
    <w:p>
      <w:pPr>
        <w:pStyle w:val="ListBullet"/>
      </w:pPr>
      <w:r>
        <w:t>release digest나 image digest가 변경됨</w:t>
      </w:r>
    </w:p>
    <w:p>
      <w:pPr>
        <w:pStyle w:val="ListBullet"/>
      </w:pPr>
      <w:r>
        <w:t>DB migration identity가 불일치함</w:t>
      </w:r>
    </w:p>
    <w:p>
      <w:pPr>
        <w:pStyle w:val="ListBullet"/>
      </w:pPr>
      <w:r>
        <w:t>certificate 또는 signing key가 검증되지 않음</w:t>
      </w:r>
    </w:p>
    <w:p>
      <w:pPr>
        <w:pStyle w:val="ListBullet"/>
      </w:pPr>
      <w:r>
        <w:t>같은 job이 중복 실행되거나 compensation이 보장되지 않음</w:t>
      </w:r>
    </w:p>
    <w:p>
      <w:r>
        <w:t>비상 종료 후에는 incident ID를 발급하고 데이터 보존·복구·재기동 승인자를 분리한다.</w:t>
      </w:r>
    </w:p>
    <w:p>
      <w:pPr>
        <w:pStyle w:val="Heading2"/>
      </w:pPr>
      <w:r>
        <w:t>10. 종료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확인 기준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사용자 요청</w:t>
            </w:r>
          </w:p>
        </w:tc>
        <w:tc>
          <w:tcPr>
            <w:tcW w:type="dxa" w:w="4762"/>
            <w:vAlign w:val="center"/>
          </w:tcPr>
          <w:p>
            <w:r/>
            <w:r>
              <w:t>신규 admission 차단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Background</w:t>
            </w:r>
          </w:p>
        </w:tc>
        <w:tc>
          <w:tcPr>
            <w:tcW w:type="dxa" w:w="4762"/>
            <w:vAlign w:val="center"/>
          </w:tcPr>
          <w:p>
            <w:r/>
            <w:r>
              <w:t>claim 중단, in-flight checkpoint 완료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API·Web</w:t>
            </w:r>
          </w:p>
        </w:tc>
        <w:tc>
          <w:tcPr>
            <w:tcW w:type="dxa" w:w="4762"/>
            <w:vAlign w:val="center"/>
          </w:tcPr>
          <w:p>
            <w:r/>
            <w:r>
              <w:t>역순 종료 완료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Lease</w:t>
            </w:r>
          </w:p>
        </w:tc>
        <w:tc>
          <w:tcPr>
            <w:tcW w:type="dxa" w:w="4762"/>
            <w:vAlign w:val="center"/>
          </w:tcPr>
          <w:p>
            <w:r/>
            <w:r>
              <w:t>만료 또는 명시적 release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Storage</w:t>
            </w:r>
          </w:p>
        </w:tc>
        <w:tc>
          <w:tcPr>
            <w:tcW w:type="dxa" w:w="4762"/>
            <w:vAlign w:val="center"/>
          </w:tcPr>
          <w:p>
            <w:r/>
            <w:r>
              <w:t>durable data와 backup 보존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Secret</w:t>
            </w:r>
          </w:p>
        </w:tc>
        <w:tc>
          <w:tcPr>
            <w:tcW w:type="dxa" w:w="4762"/>
            <w:vAlign w:val="center"/>
          </w:tcPr>
          <w:p>
            <w:r/>
            <w:r>
              <w:t>run-scoped material 제거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Container</w:t>
            </w:r>
          </w:p>
        </w:tc>
        <w:tc>
          <w:tcPr>
            <w:tcW w:type="dxa" w:w="4762"/>
            <w:vAlign w:val="center"/>
          </w:tcPr>
          <w:p>
            <w:r/>
            <w:r>
              <w:t>예상된 stopped 상태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Audit</w:t>
            </w:r>
          </w:p>
        </w:tc>
        <w:tc>
          <w:tcPr>
            <w:tcW w:type="dxa" w:w="4762"/>
            <w:vAlign w:val="center"/>
          </w:tcPr>
          <w:p>
            <w:r/>
            <w:r>
              <w:t>종료·장애·복구 event 기록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 Platform v1.0  | 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NeX Platform v1.0 | 시스템 기동·종료 절차서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6D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7A4E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3" w:right="283"/>
      <w:shd w:fill="F1F4F6"/>
    </w:pPr>
    <w:rPr>
      <w:rFonts w:ascii="Liberation Mono" w:hAnsi="Liberation Mono" w:eastAsia="Liberation Mono"/>
      <w:sz w:val="17"/>
    </w:rPr>
  </w:style>
  <w:style w:type="paragraph" w:customStyle="1" w:styleId="FigureCaption">
    <w:name w:val="Figure Caption"/>
    <w:pPr>
      <w:jc w:val="center"/>
    </w:pPr>
    <w:rPr>
      <w:rFonts w:ascii="Noto Sans CJK KR" w:hAnsi="Noto Sans CJK KR" w:eastAsia="Noto Sans CJK KR"/>
      <w:i/>
      <w:color w:val="4254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Platform v1.0 시스템 기동·종료 절차서</dc:title>
  <dc:subject>NeX Platform v1.0 Single-host Docker Compose</dc:subject>
  <dc:creator>NeX Platform</dc:creator>
  <cp:keywords>NeX Platform,v1.0,Docker Compose,운영,사용자 매뉴얼</cp:keywords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