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CF796" w14:textId="5A6D31D7" w:rsidR="00486F5E" w:rsidRDefault="009C7878" w:rsidP="003D39D7">
      <w:pPr>
        <w:pStyle w:val="Title"/>
      </w:pPr>
      <w:r w:rsidRPr="009C7878">
        <w:t>Cloud Incident Response Notification Decision Matrix</w:t>
      </w:r>
    </w:p>
    <w:p w14:paraId="45CBB7CD" w14:textId="77777777" w:rsidR="00F43492" w:rsidRDefault="00F43492" w:rsidP="00F43492">
      <w:pPr>
        <w:rPr>
          <w:lang w:val="en-GB"/>
        </w:rPr>
      </w:pPr>
    </w:p>
    <w:p w14:paraId="20B95C4D" w14:textId="77777777" w:rsidR="00BC01E4" w:rsidRDefault="00BC01E4" w:rsidP="00BC01E4">
      <w:r w:rsidRPr="00BC01E4">
        <w:rPr>
          <w:b/>
          <w:bCs/>
        </w:rPr>
        <w:t>Classification: Internal — Restricted</w:t>
      </w:r>
    </w:p>
    <w:p w14:paraId="73E8BF20" w14:textId="77777777" w:rsidR="00BC01E4" w:rsidRDefault="00BC01E4" w:rsidP="00BC01E4">
      <w:r w:rsidRPr="00BC01E4">
        <w:rPr>
          <w:b/>
          <w:bCs/>
        </w:rPr>
        <w:t>Version: 1.0</w:t>
      </w:r>
    </w:p>
    <w:p w14:paraId="384B6477" w14:textId="77777777" w:rsidR="00BC01E4" w:rsidRDefault="00BC01E4" w:rsidP="00BC01E4">
      <w:r w:rsidRPr="00BC01E4">
        <w:rPr>
          <w:b/>
          <w:bCs/>
        </w:rPr>
        <w:t>Effective Date: [Date]</w:t>
      </w:r>
    </w:p>
    <w:p w14:paraId="164E8A74" w14:textId="77777777" w:rsidR="00BC01E4" w:rsidRDefault="00BC01E4" w:rsidP="00BC01E4">
      <w:r w:rsidRPr="00BC01E4">
        <w:rPr>
          <w:b/>
          <w:bCs/>
        </w:rPr>
        <w:t>Review Cycle: Annual</w:t>
      </w:r>
    </w:p>
    <w:p w14:paraId="45FCD6F5" w14:textId="4DC977B4" w:rsidR="00BC01E4" w:rsidRDefault="00BC01E4" w:rsidP="00BC01E4">
      <w:r w:rsidRPr="00BC01E4">
        <w:rPr>
          <w:b/>
          <w:bCs/>
        </w:rPr>
        <w:t xml:space="preserve">Owner: Chief </w:t>
      </w:r>
      <w:r w:rsidR="009C7878">
        <w:rPr>
          <w:b/>
          <w:bCs/>
        </w:rPr>
        <w:t xml:space="preserve">Information Security Officer / General Counsel </w:t>
      </w:r>
    </w:p>
    <w:p w14:paraId="0CE57496" w14:textId="17D3A3C0" w:rsidR="00BC01E4" w:rsidRDefault="00BC01E4" w:rsidP="00BC01E4">
      <w:pPr>
        <w:rPr>
          <w:b/>
          <w:bCs/>
        </w:rPr>
      </w:pPr>
      <w:r w:rsidRPr="00BC01E4">
        <w:rPr>
          <w:b/>
          <w:bCs/>
        </w:rPr>
        <w:t xml:space="preserve">Approver: </w:t>
      </w:r>
      <w:r w:rsidR="00FB2056">
        <w:rPr>
          <w:b/>
          <w:bCs/>
        </w:rPr>
        <w:t>Chief Information Security Officer; General Counsel</w:t>
      </w:r>
    </w:p>
    <w:p w14:paraId="5C40CCA6" w14:textId="6FBF5A2A" w:rsidR="00FB2056" w:rsidRPr="00ED134C" w:rsidRDefault="00FB2056" w:rsidP="00BC01E4">
      <w:pPr>
        <w:rPr>
          <w:b/>
          <w:bCs/>
        </w:rPr>
      </w:pPr>
      <w:r>
        <w:rPr>
          <w:b/>
          <w:bCs/>
        </w:rPr>
        <w:t>Purpose: Pre-incident regulatory notification framework. This Matrix must be applied at the time of incident classification, not constructed during the incident.</w:t>
      </w:r>
    </w:p>
    <w:p w14:paraId="12EAE398" w14:textId="207D95B8" w:rsidR="00BC01E4" w:rsidRDefault="00BC01E4" w:rsidP="00BC01E4">
      <w:pPr>
        <w:rPr>
          <w:b/>
          <w:bCs/>
        </w:rPr>
      </w:pPr>
      <w:r w:rsidRPr="00BC01E4">
        <w:rPr>
          <w:b/>
          <w:bCs/>
        </w:rPr>
        <w:t>Regulatory Basis: OCC Guidelines 12 CFR Part 30 Appendix B; HIPAA Security Rule 45 CFR Part 164; PCI DSS v4.0 Requirements 3 and 4; NY DFS 23 NYCRR 500; GDPR Articles 5, 25, and 32</w:t>
      </w:r>
    </w:p>
    <w:p w14:paraId="4CA48EF4" w14:textId="77777777" w:rsidR="00BC01E4" w:rsidRPr="00BC01E4" w:rsidRDefault="00BC01E4" w:rsidP="00BC01E4"/>
    <w:p w14:paraId="5E29B450" w14:textId="55C6607D" w:rsidR="00BC01E4" w:rsidRPr="00BC01E4" w:rsidRDefault="00ED134C" w:rsidP="002B02BA">
      <w:pPr>
        <w:pStyle w:val="Heading1"/>
      </w:pPr>
      <w:r>
        <w:lastRenderedPageBreak/>
        <w:t>SECTION A – Incident Characteristic Assessment</w:t>
      </w:r>
    </w:p>
    <w:p w14:paraId="412F77AE" w14:textId="77777777" w:rsidR="002B02BA" w:rsidRDefault="002B02BA" w:rsidP="00BC01E4"/>
    <w:p w14:paraId="41D92DC2" w14:textId="77777777" w:rsidR="00EC58CD" w:rsidRPr="00EC58CD" w:rsidRDefault="00EC58CD" w:rsidP="00EC58CD">
      <w:r w:rsidRPr="00EC58CD">
        <w:t>Complete this section immediately upon declaring a Tier 1 or Tier 2 incident. All fields are mandatory before notification obligation assessment begins.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0"/>
        <w:gridCol w:w="6216"/>
      </w:tblGrid>
      <w:tr w:rsidR="00EC58CD" w:rsidRPr="00EC58CD" w14:paraId="0C43FF85" w14:textId="77777777" w:rsidTr="00E11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D3DBF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Field</w:t>
            </w:r>
          </w:p>
        </w:tc>
        <w:tc>
          <w:tcPr>
            <w:tcW w:w="0" w:type="auto"/>
            <w:hideMark/>
          </w:tcPr>
          <w:p w14:paraId="4DF6B329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Response</w:t>
            </w:r>
          </w:p>
        </w:tc>
      </w:tr>
      <w:tr w:rsidR="00EC58CD" w:rsidRPr="00EC58CD" w14:paraId="30323772" w14:textId="77777777" w:rsidTr="00E1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E39B4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Incident declaration date and time</w:t>
            </w:r>
          </w:p>
        </w:tc>
        <w:tc>
          <w:tcPr>
            <w:tcW w:w="0" w:type="auto"/>
            <w:hideMark/>
          </w:tcPr>
          <w:p w14:paraId="61E8848E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06120ACA" w14:textId="77777777" w:rsidTr="00E1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5CD8F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Incident classification tier</w:t>
            </w:r>
          </w:p>
        </w:tc>
        <w:tc>
          <w:tcPr>
            <w:tcW w:w="0" w:type="auto"/>
            <w:hideMark/>
          </w:tcPr>
          <w:p w14:paraId="552BA2D1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568D7603" w14:textId="77777777" w:rsidTr="00E1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49935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Data types confirmed or suspected in affected scope</w:t>
            </w:r>
          </w:p>
        </w:tc>
        <w:tc>
          <w:tcPr>
            <w:tcW w:w="0" w:type="auto"/>
            <w:hideMark/>
          </w:tcPr>
          <w:p w14:paraId="65E67E70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PHI / PII / PCI Cardholder Data / Financial Records / Credentials / Other</w:t>
            </w:r>
          </w:p>
        </w:tc>
      </w:tr>
      <w:tr w:rsidR="00EC58CD" w:rsidRPr="00EC58CD" w14:paraId="4D8722BC" w14:textId="77777777" w:rsidTr="00E1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53D71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Estimated number of individuals affected</w:t>
            </w:r>
          </w:p>
        </w:tc>
        <w:tc>
          <w:tcPr>
            <w:tcW w:w="0" w:type="auto"/>
            <w:hideMark/>
          </w:tcPr>
          <w:p w14:paraId="5A42BE30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714A093B" w14:textId="77777777" w:rsidTr="00E1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C6455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Nature of compromise</w:t>
            </w:r>
          </w:p>
        </w:tc>
        <w:tc>
          <w:tcPr>
            <w:tcW w:w="0" w:type="auto"/>
            <w:hideMark/>
          </w:tcPr>
          <w:p w14:paraId="11B1E926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Unauthorised access / Exfiltration confirmed / Exfiltration suspected / Encryption/ransomware / Provider-layer compromise / Other</w:t>
            </w:r>
          </w:p>
        </w:tc>
      </w:tr>
      <w:tr w:rsidR="00EC58CD" w:rsidRPr="00EC58CD" w14:paraId="0FD34C2C" w14:textId="77777777" w:rsidTr="00E1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0FFA4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Geographic scope of affected individuals</w:t>
            </w:r>
          </w:p>
        </w:tc>
        <w:tc>
          <w:tcPr>
            <w:tcW w:w="0" w:type="auto"/>
            <w:hideMark/>
          </w:tcPr>
          <w:p w14:paraId="7E6BFCE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 xml:space="preserve">US only / EU/EEA included / </w:t>
            </w:r>
            <w:proofErr w:type="gramStart"/>
            <w:r w:rsidRPr="00EC58CD">
              <w:t>Multi-jurisdictional</w:t>
            </w:r>
            <w:proofErr w:type="gramEnd"/>
          </w:p>
        </w:tc>
      </w:tr>
      <w:tr w:rsidR="00EC58CD" w:rsidRPr="00EC58CD" w14:paraId="3D3ADAE5" w14:textId="77777777" w:rsidTr="00E1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DE477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Institutional classification</w:t>
            </w:r>
          </w:p>
        </w:tc>
        <w:tc>
          <w:tcPr>
            <w:tcW w:w="0" w:type="auto"/>
            <w:hideMark/>
          </w:tcPr>
          <w:p w14:paraId="6DD270B6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OCC-regulated national bank / Federal Reserve supervised BHC / FDIC-insured state bank / SEC-registered / HIPAA covered entity / PCI DSS merchant</w:t>
            </w:r>
          </w:p>
        </w:tc>
      </w:tr>
      <w:tr w:rsidR="00EC58CD" w:rsidRPr="00EC58CD" w14:paraId="2D85DAE2" w14:textId="77777777" w:rsidTr="00E1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C68DF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Incident declared by (name and title)</w:t>
            </w:r>
          </w:p>
        </w:tc>
        <w:tc>
          <w:tcPr>
            <w:tcW w:w="0" w:type="auto"/>
            <w:hideMark/>
          </w:tcPr>
          <w:p w14:paraId="297FF925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E9AEFF" w14:textId="77777777" w:rsidR="00FE402A" w:rsidRDefault="00FE402A" w:rsidP="00EC58CD"/>
    <w:p w14:paraId="1BFF6688" w14:textId="12FBBF61" w:rsidR="00EC58CD" w:rsidRDefault="00EC58CD" w:rsidP="00FE402A">
      <w:pPr>
        <w:pStyle w:val="Heading1"/>
      </w:pPr>
      <w:r w:rsidRPr="00EC58CD">
        <w:lastRenderedPageBreak/>
        <w:t>SECTION B — Notification Obligation Assessment</w:t>
      </w:r>
    </w:p>
    <w:p w14:paraId="63999595" w14:textId="77777777" w:rsidR="00FE402A" w:rsidRPr="00FE402A" w:rsidRDefault="00FE402A" w:rsidP="00FE402A">
      <w:pPr>
        <w:rPr>
          <w:lang w:val="en-GB"/>
        </w:rPr>
      </w:pPr>
    </w:p>
    <w:p w14:paraId="300D40A2" w14:textId="77777777" w:rsidR="00EC58CD" w:rsidRPr="00EC58CD" w:rsidRDefault="00EC58CD" w:rsidP="00EC58CD">
      <w:r w:rsidRPr="00EC58CD">
        <w:t>Evaluate each row independently. “Triggered” means the notification obligation is active and the clock has started. “Not triggered” requires a documented exclusion rationale. Any row with no determination is an evaluation gap — the Matrix is incomplete and must not be used as a basis for any notification decision until the gap is resolved.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1"/>
        <w:gridCol w:w="1323"/>
        <w:gridCol w:w="1220"/>
        <w:gridCol w:w="1343"/>
        <w:gridCol w:w="1454"/>
        <w:gridCol w:w="1436"/>
        <w:gridCol w:w="1029"/>
      </w:tblGrid>
      <w:tr w:rsidR="00EC58CD" w:rsidRPr="00EC58CD" w14:paraId="062B21B1" w14:textId="77777777" w:rsidTr="002D5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54D70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Framework</w:t>
            </w:r>
          </w:p>
        </w:tc>
        <w:tc>
          <w:tcPr>
            <w:tcW w:w="0" w:type="auto"/>
            <w:hideMark/>
          </w:tcPr>
          <w:p w14:paraId="3A287936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Trigger Condition</w:t>
            </w:r>
          </w:p>
        </w:tc>
        <w:tc>
          <w:tcPr>
            <w:tcW w:w="0" w:type="auto"/>
            <w:hideMark/>
          </w:tcPr>
          <w:p w14:paraId="3DBED6F2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Clock Start</w:t>
            </w:r>
          </w:p>
        </w:tc>
        <w:tc>
          <w:tcPr>
            <w:tcW w:w="0" w:type="auto"/>
            <w:hideMark/>
          </w:tcPr>
          <w:p w14:paraId="5D48E2F2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Timeline</w:t>
            </w:r>
          </w:p>
        </w:tc>
        <w:tc>
          <w:tcPr>
            <w:tcW w:w="0" w:type="auto"/>
            <w:hideMark/>
          </w:tcPr>
          <w:p w14:paraId="5037405F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Recipient</w:t>
            </w:r>
          </w:p>
        </w:tc>
        <w:tc>
          <w:tcPr>
            <w:tcW w:w="0" w:type="auto"/>
            <w:hideMark/>
          </w:tcPr>
          <w:p w14:paraId="72AD49E9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Determination</w:t>
            </w:r>
          </w:p>
        </w:tc>
        <w:tc>
          <w:tcPr>
            <w:tcW w:w="0" w:type="auto"/>
            <w:hideMark/>
          </w:tcPr>
          <w:p w14:paraId="7CF961D5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Exclusion Rationale if Not Triggered</w:t>
            </w:r>
          </w:p>
        </w:tc>
      </w:tr>
      <w:tr w:rsidR="00EC58CD" w:rsidRPr="00EC58CD" w14:paraId="582D838B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839C6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OCC 12 CFR Part 53</w:t>
            </w:r>
          </w:p>
        </w:tc>
        <w:tc>
          <w:tcPr>
            <w:tcW w:w="0" w:type="auto"/>
            <w:hideMark/>
          </w:tcPr>
          <w:p w14:paraId="198D3CCB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Confirmed notification incident at OCC-regulated institution</w:t>
            </w:r>
          </w:p>
        </w:tc>
        <w:tc>
          <w:tcPr>
            <w:tcW w:w="0" w:type="auto"/>
            <w:hideMark/>
          </w:tcPr>
          <w:p w14:paraId="5A6205B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 (incident declaration)</w:t>
            </w:r>
          </w:p>
        </w:tc>
        <w:tc>
          <w:tcPr>
            <w:tcW w:w="0" w:type="auto"/>
            <w:hideMark/>
          </w:tcPr>
          <w:p w14:paraId="7D834D98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36 hours</w:t>
            </w:r>
          </w:p>
        </w:tc>
        <w:tc>
          <w:tcPr>
            <w:tcW w:w="0" w:type="auto"/>
            <w:hideMark/>
          </w:tcPr>
          <w:p w14:paraId="3144BEEC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OCC primary examiner</w:t>
            </w:r>
          </w:p>
        </w:tc>
        <w:tc>
          <w:tcPr>
            <w:tcW w:w="0" w:type="auto"/>
            <w:hideMark/>
          </w:tcPr>
          <w:p w14:paraId="355D4392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F5F7BA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25A7E5C6" w14:textId="77777777" w:rsidTr="002D5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C57B1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Federal Reserve SR 97-32</w:t>
            </w:r>
          </w:p>
        </w:tc>
        <w:tc>
          <w:tcPr>
            <w:tcW w:w="0" w:type="auto"/>
            <w:hideMark/>
          </w:tcPr>
          <w:p w14:paraId="0B5D063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Material incident at BHC or state member bank</w:t>
            </w:r>
          </w:p>
        </w:tc>
        <w:tc>
          <w:tcPr>
            <w:tcW w:w="0" w:type="auto"/>
            <w:hideMark/>
          </w:tcPr>
          <w:p w14:paraId="0AC4D29D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3BD087F5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As soon as possible (interpret as 36 hours)</w:t>
            </w:r>
          </w:p>
        </w:tc>
        <w:tc>
          <w:tcPr>
            <w:tcW w:w="0" w:type="auto"/>
            <w:hideMark/>
          </w:tcPr>
          <w:p w14:paraId="49FCA150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Federal Reserve relationship manager</w:t>
            </w:r>
          </w:p>
        </w:tc>
        <w:tc>
          <w:tcPr>
            <w:tcW w:w="0" w:type="auto"/>
            <w:hideMark/>
          </w:tcPr>
          <w:p w14:paraId="7BC555B2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75937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3EEBFD32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69BB8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HIPAA Breach Notification Rule</w:t>
            </w:r>
          </w:p>
        </w:tc>
        <w:tc>
          <w:tcPr>
            <w:tcW w:w="0" w:type="auto"/>
            <w:hideMark/>
          </w:tcPr>
          <w:p w14:paraId="2530C3ED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Confirmed or suspected breach of unsecured PHI</w:t>
            </w:r>
          </w:p>
        </w:tc>
        <w:tc>
          <w:tcPr>
            <w:tcW w:w="0" w:type="auto"/>
            <w:hideMark/>
          </w:tcPr>
          <w:p w14:paraId="5AD92C05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587A9C3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60 days to individuals; concurrent HHS notification if 500+ individuals in single state</w:t>
            </w:r>
          </w:p>
        </w:tc>
        <w:tc>
          <w:tcPr>
            <w:tcW w:w="0" w:type="auto"/>
            <w:hideMark/>
          </w:tcPr>
          <w:p w14:paraId="72C91452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Affected individuals; HHS OCR</w:t>
            </w:r>
          </w:p>
        </w:tc>
        <w:tc>
          <w:tcPr>
            <w:tcW w:w="0" w:type="auto"/>
            <w:hideMark/>
          </w:tcPr>
          <w:p w14:paraId="271D7C29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30F9CD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404BBEAA" w14:textId="77777777" w:rsidTr="002D5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4B31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HIPAA — Proposed 72-Hour Rule</w:t>
            </w:r>
          </w:p>
        </w:tc>
        <w:tc>
          <w:tcPr>
            <w:tcW w:w="0" w:type="auto"/>
            <w:hideMark/>
          </w:tcPr>
          <w:p w14:paraId="5C1A8372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Confirmed breach of PHI (if rule in effect)</w:t>
            </w:r>
          </w:p>
        </w:tc>
        <w:tc>
          <w:tcPr>
            <w:tcW w:w="0" w:type="auto"/>
            <w:hideMark/>
          </w:tcPr>
          <w:p w14:paraId="003194F1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092BA3F1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72 hours</w:t>
            </w:r>
          </w:p>
        </w:tc>
        <w:tc>
          <w:tcPr>
            <w:tcW w:w="0" w:type="auto"/>
            <w:hideMark/>
          </w:tcPr>
          <w:p w14:paraId="6A3D057A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HHS OCR</w:t>
            </w:r>
          </w:p>
        </w:tc>
        <w:tc>
          <w:tcPr>
            <w:tcW w:w="0" w:type="auto"/>
            <w:hideMark/>
          </w:tcPr>
          <w:p w14:paraId="420818FD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B3803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7EFFADF2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E4811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NY DFS 23 NYCRR 500.17</w:t>
            </w:r>
          </w:p>
        </w:tc>
        <w:tc>
          <w:tcPr>
            <w:tcW w:w="0" w:type="auto"/>
            <w:hideMark/>
          </w:tcPr>
          <w:p w14:paraId="4E7F7284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Cybersecurity event at covered entity</w:t>
            </w:r>
          </w:p>
        </w:tc>
        <w:tc>
          <w:tcPr>
            <w:tcW w:w="0" w:type="auto"/>
            <w:hideMark/>
          </w:tcPr>
          <w:p w14:paraId="0A591097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15DE3425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72 hours</w:t>
            </w:r>
          </w:p>
        </w:tc>
        <w:tc>
          <w:tcPr>
            <w:tcW w:w="0" w:type="auto"/>
            <w:hideMark/>
          </w:tcPr>
          <w:p w14:paraId="08832744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NY DFS Superintendent</w:t>
            </w:r>
          </w:p>
        </w:tc>
        <w:tc>
          <w:tcPr>
            <w:tcW w:w="0" w:type="auto"/>
            <w:hideMark/>
          </w:tcPr>
          <w:p w14:paraId="2A861B8B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DB740B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48A4A6DE" w14:textId="77777777" w:rsidTr="002D5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1291B" w14:textId="77777777" w:rsidR="00EC58CD" w:rsidRPr="00EC58CD" w:rsidRDefault="00EC58CD" w:rsidP="00EC58CD">
            <w:pPr>
              <w:spacing w:after="160" w:line="259" w:lineRule="auto"/>
            </w:pPr>
            <w:r w:rsidRPr="00EC58CD">
              <w:lastRenderedPageBreak/>
              <w:t>SEC Regulation S-P</w:t>
            </w:r>
          </w:p>
        </w:tc>
        <w:tc>
          <w:tcPr>
            <w:tcW w:w="0" w:type="auto"/>
            <w:hideMark/>
          </w:tcPr>
          <w:p w14:paraId="5A52C4F4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Breach involving securities customer records</w:t>
            </w:r>
          </w:p>
        </w:tc>
        <w:tc>
          <w:tcPr>
            <w:tcW w:w="0" w:type="auto"/>
            <w:hideMark/>
          </w:tcPr>
          <w:p w14:paraId="345A9DCE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1364C786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30 days to affected customers; prompt internal reporting</w:t>
            </w:r>
          </w:p>
        </w:tc>
        <w:tc>
          <w:tcPr>
            <w:tcW w:w="0" w:type="auto"/>
            <w:hideMark/>
          </w:tcPr>
          <w:p w14:paraId="1C47116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SEC; affected customers</w:t>
            </w:r>
          </w:p>
        </w:tc>
        <w:tc>
          <w:tcPr>
            <w:tcW w:w="0" w:type="auto"/>
            <w:hideMark/>
          </w:tcPr>
          <w:p w14:paraId="6D749A2D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4B9BC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4E07D014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2709B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SEC Material Incident Rule</w:t>
            </w:r>
          </w:p>
        </w:tc>
        <w:tc>
          <w:tcPr>
            <w:tcW w:w="0" w:type="auto"/>
            <w:hideMark/>
          </w:tcPr>
          <w:p w14:paraId="45C6E1F8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Material cybersecurity incident at SEC reporting company</w:t>
            </w:r>
          </w:p>
        </w:tc>
        <w:tc>
          <w:tcPr>
            <w:tcW w:w="0" w:type="auto"/>
            <w:hideMark/>
          </w:tcPr>
          <w:p w14:paraId="79D7C414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658A1D10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4 business days from materiality determination</w:t>
            </w:r>
          </w:p>
        </w:tc>
        <w:tc>
          <w:tcPr>
            <w:tcW w:w="0" w:type="auto"/>
            <w:hideMark/>
          </w:tcPr>
          <w:p w14:paraId="7E89DAEE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SEC Form 8-K</w:t>
            </w:r>
          </w:p>
        </w:tc>
        <w:tc>
          <w:tcPr>
            <w:tcW w:w="0" w:type="auto"/>
            <w:hideMark/>
          </w:tcPr>
          <w:p w14:paraId="09A0E0CA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DC5077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2D322CDE" w14:textId="77777777" w:rsidTr="002D5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66A02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PCI DSS</w:t>
            </w:r>
          </w:p>
        </w:tc>
        <w:tc>
          <w:tcPr>
            <w:tcW w:w="0" w:type="auto"/>
            <w:hideMark/>
          </w:tcPr>
          <w:p w14:paraId="02DD80E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Confirmed or suspected compromise of cardholder data</w:t>
            </w:r>
          </w:p>
        </w:tc>
        <w:tc>
          <w:tcPr>
            <w:tcW w:w="0" w:type="auto"/>
            <w:hideMark/>
          </w:tcPr>
          <w:p w14:paraId="06A7F8C4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74FF238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Immediately to card brands; forensic investigator engaged within 72 hours</w:t>
            </w:r>
          </w:p>
        </w:tc>
        <w:tc>
          <w:tcPr>
            <w:tcW w:w="0" w:type="auto"/>
            <w:hideMark/>
          </w:tcPr>
          <w:p w14:paraId="7B042A29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Visa / Mastercard / Amex / Discover; QSA</w:t>
            </w:r>
          </w:p>
        </w:tc>
        <w:tc>
          <w:tcPr>
            <w:tcW w:w="0" w:type="auto"/>
            <w:hideMark/>
          </w:tcPr>
          <w:p w14:paraId="69D25650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4618C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6F2ADA98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0038E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GDPR Article 33</w:t>
            </w:r>
          </w:p>
        </w:tc>
        <w:tc>
          <w:tcPr>
            <w:tcW w:w="0" w:type="auto"/>
            <w:hideMark/>
          </w:tcPr>
          <w:p w14:paraId="2AC566A8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Personal data breach affecting EEA individuals</w:t>
            </w:r>
          </w:p>
        </w:tc>
        <w:tc>
          <w:tcPr>
            <w:tcW w:w="0" w:type="auto"/>
            <w:hideMark/>
          </w:tcPr>
          <w:p w14:paraId="72000F79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075E8A00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72 hours</w:t>
            </w:r>
          </w:p>
        </w:tc>
        <w:tc>
          <w:tcPr>
            <w:tcW w:w="0" w:type="auto"/>
            <w:hideMark/>
          </w:tcPr>
          <w:p w14:paraId="50E0CAFC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Lead supervisory authority</w:t>
            </w:r>
          </w:p>
        </w:tc>
        <w:tc>
          <w:tcPr>
            <w:tcW w:w="0" w:type="auto"/>
            <w:hideMark/>
          </w:tcPr>
          <w:p w14:paraId="5AD80D19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D7B52F9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0F3763B9" w14:textId="77777777" w:rsidTr="002D5C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0E5A4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GDPR Article 34</w:t>
            </w:r>
          </w:p>
        </w:tc>
        <w:tc>
          <w:tcPr>
            <w:tcW w:w="0" w:type="auto"/>
            <w:hideMark/>
          </w:tcPr>
          <w:p w14:paraId="5546981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High-risk breach requiring individual notification</w:t>
            </w:r>
          </w:p>
        </w:tc>
        <w:tc>
          <w:tcPr>
            <w:tcW w:w="0" w:type="auto"/>
            <w:hideMark/>
          </w:tcPr>
          <w:p w14:paraId="1046CB69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Post-authority consultation</w:t>
            </w:r>
          </w:p>
        </w:tc>
        <w:tc>
          <w:tcPr>
            <w:tcW w:w="0" w:type="auto"/>
            <w:hideMark/>
          </w:tcPr>
          <w:p w14:paraId="06F62F13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Without undue delay</w:t>
            </w:r>
          </w:p>
        </w:tc>
        <w:tc>
          <w:tcPr>
            <w:tcW w:w="0" w:type="auto"/>
            <w:hideMark/>
          </w:tcPr>
          <w:p w14:paraId="2D789AA9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Affected individuals</w:t>
            </w:r>
          </w:p>
        </w:tc>
        <w:tc>
          <w:tcPr>
            <w:tcW w:w="0" w:type="auto"/>
            <w:hideMark/>
          </w:tcPr>
          <w:p w14:paraId="06D20610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3F3DE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1BFF8C96" w14:textId="77777777" w:rsidTr="002D5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973A4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DORA (EU financial entities)</w:t>
            </w:r>
          </w:p>
        </w:tc>
        <w:tc>
          <w:tcPr>
            <w:tcW w:w="0" w:type="auto"/>
            <w:hideMark/>
          </w:tcPr>
          <w:p w14:paraId="2ED646B3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Major ICT-related incident</w:t>
            </w:r>
          </w:p>
        </w:tc>
        <w:tc>
          <w:tcPr>
            <w:tcW w:w="0" w:type="auto"/>
            <w:hideMark/>
          </w:tcPr>
          <w:p w14:paraId="6D631EFC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T+0</w:t>
            </w:r>
          </w:p>
        </w:tc>
        <w:tc>
          <w:tcPr>
            <w:tcW w:w="0" w:type="auto"/>
            <w:hideMark/>
          </w:tcPr>
          <w:p w14:paraId="0EA8A136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Initial notification within 4 hours of classification as major; intermediate within 72 hours; final within 1 month</w:t>
            </w:r>
          </w:p>
        </w:tc>
        <w:tc>
          <w:tcPr>
            <w:tcW w:w="0" w:type="auto"/>
            <w:hideMark/>
          </w:tcPr>
          <w:p w14:paraId="763D4B3D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Competent authority</w:t>
            </w:r>
          </w:p>
        </w:tc>
        <w:tc>
          <w:tcPr>
            <w:tcW w:w="0" w:type="auto"/>
            <w:hideMark/>
          </w:tcPr>
          <w:p w14:paraId="287C4CF6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A13F20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E317C7" w14:textId="77777777" w:rsidR="002D5C80" w:rsidRDefault="002D5C80" w:rsidP="00EC58CD"/>
    <w:p w14:paraId="4E204D4B" w14:textId="58FB2C66" w:rsidR="00EC58CD" w:rsidRDefault="00EC58CD" w:rsidP="002D5C80">
      <w:pPr>
        <w:pStyle w:val="Heading1"/>
      </w:pPr>
      <w:r w:rsidRPr="00EC58CD">
        <w:lastRenderedPageBreak/>
        <w:t>SECTION C — Notification Decision Authorization</w:t>
      </w:r>
    </w:p>
    <w:p w14:paraId="0D6C2266" w14:textId="77777777" w:rsidR="002D5C80" w:rsidRPr="002D5C80" w:rsidRDefault="002D5C80" w:rsidP="002D5C80">
      <w:pPr>
        <w:rPr>
          <w:lang w:val="en-GB"/>
        </w:rPr>
      </w:pPr>
    </w:p>
    <w:p w14:paraId="48421914" w14:textId="77777777" w:rsidR="00EC58CD" w:rsidRPr="00EC58CD" w:rsidRDefault="00EC58CD" w:rsidP="00EC58CD">
      <w:r w:rsidRPr="00EC58CD">
        <w:t>No notification is transmitted without the co-authorisation of the individuals named below. The notification clock does not pause pending authorisation — authorisation must be obtained within the time available before each deadline.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96"/>
        <w:gridCol w:w="1887"/>
        <w:gridCol w:w="1855"/>
        <w:gridCol w:w="2062"/>
        <w:gridCol w:w="1416"/>
      </w:tblGrid>
      <w:tr w:rsidR="00EC58CD" w:rsidRPr="00EC58CD" w14:paraId="7C808D13" w14:textId="77777777" w:rsidTr="008E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8DE26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Notification</w:t>
            </w:r>
          </w:p>
        </w:tc>
        <w:tc>
          <w:tcPr>
            <w:tcW w:w="0" w:type="auto"/>
            <w:hideMark/>
          </w:tcPr>
          <w:p w14:paraId="76FF0F06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Authorised By (Name + Title)</w:t>
            </w:r>
          </w:p>
        </w:tc>
        <w:tc>
          <w:tcPr>
            <w:tcW w:w="0" w:type="auto"/>
            <w:hideMark/>
          </w:tcPr>
          <w:p w14:paraId="31F0545D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Authorisation Timestamp</w:t>
            </w:r>
          </w:p>
        </w:tc>
        <w:tc>
          <w:tcPr>
            <w:tcW w:w="0" w:type="auto"/>
            <w:hideMark/>
          </w:tcPr>
          <w:p w14:paraId="6BE13EF0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Notification Transmitted (Timestamp)</w:t>
            </w:r>
          </w:p>
        </w:tc>
        <w:tc>
          <w:tcPr>
            <w:tcW w:w="0" w:type="auto"/>
            <w:hideMark/>
          </w:tcPr>
          <w:p w14:paraId="3B385E25" w14:textId="77777777" w:rsidR="00EC58CD" w:rsidRPr="00EC58CD" w:rsidRDefault="00EC58CD" w:rsidP="00EC58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Within Deadline (Y/N)</w:t>
            </w:r>
          </w:p>
        </w:tc>
      </w:tr>
      <w:tr w:rsidR="00EC58CD" w:rsidRPr="00EC58CD" w14:paraId="1926D4B9" w14:textId="77777777" w:rsidTr="008E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117B9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OCC 36-hour</w:t>
            </w:r>
          </w:p>
        </w:tc>
        <w:tc>
          <w:tcPr>
            <w:tcW w:w="0" w:type="auto"/>
            <w:hideMark/>
          </w:tcPr>
          <w:p w14:paraId="26E7FDE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CISO: _____ / General Counsel: _____</w:t>
            </w:r>
          </w:p>
        </w:tc>
        <w:tc>
          <w:tcPr>
            <w:tcW w:w="0" w:type="auto"/>
            <w:hideMark/>
          </w:tcPr>
          <w:p w14:paraId="2D05789E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F1011E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C4ACD2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18D00392" w14:textId="77777777" w:rsidTr="008E2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B8E49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HIPAA HHS</w:t>
            </w:r>
          </w:p>
        </w:tc>
        <w:tc>
          <w:tcPr>
            <w:tcW w:w="0" w:type="auto"/>
            <w:hideMark/>
          </w:tcPr>
          <w:p w14:paraId="134E282A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CDO: _____ / General Counsel: _____</w:t>
            </w:r>
          </w:p>
        </w:tc>
        <w:tc>
          <w:tcPr>
            <w:tcW w:w="0" w:type="auto"/>
            <w:hideMark/>
          </w:tcPr>
          <w:p w14:paraId="38679C17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DBFE1C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B07D9F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053FC600" w14:textId="77777777" w:rsidTr="008E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C476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HIPAA Individual</w:t>
            </w:r>
          </w:p>
        </w:tc>
        <w:tc>
          <w:tcPr>
            <w:tcW w:w="0" w:type="auto"/>
            <w:hideMark/>
          </w:tcPr>
          <w:p w14:paraId="66EEED8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CDO: _____ / General Counsel: _____</w:t>
            </w:r>
          </w:p>
        </w:tc>
        <w:tc>
          <w:tcPr>
            <w:tcW w:w="0" w:type="auto"/>
            <w:hideMark/>
          </w:tcPr>
          <w:p w14:paraId="771C692D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FBE893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160161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30E85667" w14:textId="77777777" w:rsidTr="008E2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BA6B8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NY DFS 72-hour</w:t>
            </w:r>
          </w:p>
        </w:tc>
        <w:tc>
          <w:tcPr>
            <w:tcW w:w="0" w:type="auto"/>
            <w:hideMark/>
          </w:tcPr>
          <w:p w14:paraId="4057CDF1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CISO: _____ / General Counsel: _____</w:t>
            </w:r>
          </w:p>
        </w:tc>
        <w:tc>
          <w:tcPr>
            <w:tcW w:w="0" w:type="auto"/>
            <w:hideMark/>
          </w:tcPr>
          <w:p w14:paraId="03845C03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CAA12E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961D22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52475444" w14:textId="77777777" w:rsidTr="008E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777F8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PCI Card Brand</w:t>
            </w:r>
          </w:p>
        </w:tc>
        <w:tc>
          <w:tcPr>
            <w:tcW w:w="0" w:type="auto"/>
            <w:hideMark/>
          </w:tcPr>
          <w:p w14:paraId="3CD25B08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CISO: _____ / CDO: _____</w:t>
            </w:r>
          </w:p>
        </w:tc>
        <w:tc>
          <w:tcPr>
            <w:tcW w:w="0" w:type="auto"/>
            <w:hideMark/>
          </w:tcPr>
          <w:p w14:paraId="6CFB17F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D48686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F39AA4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58CD" w:rsidRPr="00EC58CD" w14:paraId="7ED2F930" w14:textId="77777777" w:rsidTr="008E2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9E0E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GDPR Supervisory Authority</w:t>
            </w:r>
          </w:p>
        </w:tc>
        <w:tc>
          <w:tcPr>
            <w:tcW w:w="0" w:type="auto"/>
            <w:hideMark/>
          </w:tcPr>
          <w:p w14:paraId="4F544166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58CD">
              <w:t>DPO: _____ / General Counsel: _____</w:t>
            </w:r>
          </w:p>
        </w:tc>
        <w:tc>
          <w:tcPr>
            <w:tcW w:w="0" w:type="auto"/>
            <w:hideMark/>
          </w:tcPr>
          <w:p w14:paraId="6E5DB660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2A764A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08C0A3" w14:textId="77777777" w:rsidR="00EC58CD" w:rsidRPr="00EC58CD" w:rsidRDefault="00EC58CD" w:rsidP="00EC58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58CD" w:rsidRPr="00EC58CD" w14:paraId="6E5E63AF" w14:textId="77777777" w:rsidTr="008E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EADAE" w14:textId="77777777" w:rsidR="00EC58CD" w:rsidRPr="00EC58CD" w:rsidRDefault="00EC58CD" w:rsidP="00EC58CD">
            <w:pPr>
              <w:spacing w:after="160" w:line="259" w:lineRule="auto"/>
            </w:pPr>
            <w:r w:rsidRPr="00EC58CD">
              <w:t>SEC 4-day</w:t>
            </w:r>
          </w:p>
        </w:tc>
        <w:tc>
          <w:tcPr>
            <w:tcW w:w="0" w:type="auto"/>
            <w:hideMark/>
          </w:tcPr>
          <w:p w14:paraId="0E49E72C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58CD">
              <w:t>CFO: _____ / General Counsel: _____</w:t>
            </w:r>
          </w:p>
        </w:tc>
        <w:tc>
          <w:tcPr>
            <w:tcW w:w="0" w:type="auto"/>
            <w:hideMark/>
          </w:tcPr>
          <w:p w14:paraId="4436394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41599F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18255E" w14:textId="77777777" w:rsidR="00EC58CD" w:rsidRPr="00EC58CD" w:rsidRDefault="00EC58CD" w:rsidP="00EC58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28F0D5" w14:textId="77777777" w:rsidR="008E246C" w:rsidRDefault="008E246C" w:rsidP="00EC58CD">
      <w:pPr>
        <w:rPr>
          <w:b/>
          <w:bCs/>
        </w:rPr>
      </w:pPr>
    </w:p>
    <w:p w14:paraId="362316ED" w14:textId="2450ADD1" w:rsidR="00EC58CD" w:rsidRPr="00EC58CD" w:rsidRDefault="00EC58CD" w:rsidP="00EC58CD">
      <w:r w:rsidRPr="00EC58CD">
        <w:rPr>
          <w:b/>
          <w:bCs/>
        </w:rPr>
        <w:t xml:space="preserve">CRITICAL GOVERNANCE RULE: The determination “no regulatory notification obligations have been triggered” requires co-authorisation by the CISO and General Counsel. This determination may not be made by any automated system, any agent, or any single individual. It must be recorded in Section C with named </w:t>
      </w:r>
      <w:proofErr w:type="spellStart"/>
      <w:r w:rsidRPr="00EC58CD">
        <w:rPr>
          <w:b/>
          <w:bCs/>
        </w:rPr>
        <w:t>authorisers</w:t>
      </w:r>
      <w:proofErr w:type="spellEnd"/>
      <w:r w:rsidRPr="00EC58CD">
        <w:rPr>
          <w:b/>
          <w:bCs/>
        </w:rPr>
        <w:t xml:space="preserve"> and timestamps.</w:t>
      </w:r>
    </w:p>
    <w:p w14:paraId="601C468F" w14:textId="77777777" w:rsidR="008E246C" w:rsidRDefault="008E246C" w:rsidP="00EC58CD"/>
    <w:p w14:paraId="7D12CF94" w14:textId="70F41D7D" w:rsidR="00EC58CD" w:rsidRDefault="00EC58CD" w:rsidP="008E246C">
      <w:pPr>
        <w:pStyle w:val="Heading1"/>
      </w:pPr>
      <w:r w:rsidRPr="00EC58CD">
        <w:lastRenderedPageBreak/>
        <w:t>SECTION D — 6-Hour Warning Escalation Protocol</w:t>
      </w:r>
    </w:p>
    <w:p w14:paraId="790D5945" w14:textId="77777777" w:rsidR="008E246C" w:rsidRPr="008E246C" w:rsidRDefault="008E246C" w:rsidP="008E246C">
      <w:pPr>
        <w:rPr>
          <w:lang w:val="en-GB"/>
        </w:rPr>
      </w:pPr>
    </w:p>
    <w:p w14:paraId="55B26576" w14:textId="77777777" w:rsidR="00EC58CD" w:rsidRPr="00EC58CD" w:rsidRDefault="00EC58CD" w:rsidP="00EC58CD">
      <w:r w:rsidRPr="00EC58CD">
        <w:t>When any notification clock reaches 6 hours remaining before deadline, the following escalation sequence is mandatory regardless of authorisation status:</w:t>
      </w:r>
    </w:p>
    <w:p w14:paraId="37EB5415" w14:textId="77777777" w:rsidR="00EC58CD" w:rsidRPr="00EC58CD" w:rsidRDefault="00EC58CD" w:rsidP="00EC58CD">
      <w:pPr>
        <w:numPr>
          <w:ilvl w:val="0"/>
          <w:numId w:val="61"/>
        </w:numPr>
      </w:pPr>
      <w:r w:rsidRPr="00EC58CD">
        <w:t>Orchestrator agent generates immediate alert to CISO, CDO, and General Counsel simultaneously</w:t>
      </w:r>
    </w:p>
    <w:p w14:paraId="5A0578E7" w14:textId="77777777" w:rsidR="00EC58CD" w:rsidRPr="00EC58CD" w:rsidRDefault="00EC58CD" w:rsidP="00EC58CD">
      <w:pPr>
        <w:numPr>
          <w:ilvl w:val="0"/>
          <w:numId w:val="61"/>
        </w:numPr>
      </w:pPr>
      <w:r w:rsidRPr="00EC58CD">
        <w:t>Incident Commander confirms authorisation status and identifies blocking conditions</w:t>
      </w:r>
    </w:p>
    <w:p w14:paraId="1EFC1681" w14:textId="77777777" w:rsidR="00EC58CD" w:rsidRPr="00EC58CD" w:rsidRDefault="00EC58CD" w:rsidP="00EC58CD">
      <w:pPr>
        <w:numPr>
          <w:ilvl w:val="0"/>
          <w:numId w:val="61"/>
        </w:numPr>
      </w:pPr>
      <w:r w:rsidRPr="00EC58CD">
        <w:t>If authorisation is not obtainable within 2 hours of the 6-hour warning, the CEO is notified directly</w:t>
      </w:r>
    </w:p>
    <w:p w14:paraId="47F80B82" w14:textId="77777777" w:rsidR="00EC58CD" w:rsidRPr="00EC58CD" w:rsidRDefault="00EC58CD" w:rsidP="00EC58CD">
      <w:pPr>
        <w:numPr>
          <w:ilvl w:val="0"/>
          <w:numId w:val="61"/>
        </w:numPr>
      </w:pPr>
      <w:r w:rsidRPr="00EC58CD">
        <w:t>The CEO’s notification triggers an emergency authorisation protocol — defined below and approved in advance — that permits the CEO to authorise the notification in the absence of the standard co-</w:t>
      </w:r>
      <w:proofErr w:type="spellStart"/>
      <w:r w:rsidRPr="00EC58CD">
        <w:t>authorisers</w:t>
      </w:r>
      <w:proofErr w:type="spellEnd"/>
      <w:r w:rsidRPr="00EC58CD">
        <w:t xml:space="preserve"> if both are genuinely unavailable</w:t>
      </w:r>
    </w:p>
    <w:p w14:paraId="11DE605B" w14:textId="77777777" w:rsidR="00EC58CD" w:rsidRPr="00EC58CD" w:rsidRDefault="00EC58CD" w:rsidP="00EC58CD">
      <w:r w:rsidRPr="00EC58CD">
        <w:rPr>
          <w:b/>
          <w:bCs/>
        </w:rPr>
        <w:t>Emergency authorisation protocol approval:</w:t>
      </w:r>
      <w:r w:rsidRPr="00EC58CD">
        <w:t xml:space="preserve"> [CEO signature] [Date]</w:t>
      </w:r>
    </w:p>
    <w:p w14:paraId="5EAF2FAB" w14:textId="77777777" w:rsidR="00EC58CD" w:rsidRDefault="00EC58CD" w:rsidP="00BC01E4"/>
    <w:sectPr w:rsidR="00EC58CD" w:rsidSect="00486F5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TC Zapf Chancery">
    <w:panose1 w:val="03020702040403080804"/>
    <w:charset w:val="00"/>
    <w:family w:val="modern"/>
    <w:notTrueType/>
    <w:pitch w:val="variable"/>
    <w:sig w:usb0="A000002F" w:usb1="40000048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CD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AE579B"/>
    <w:multiLevelType w:val="multilevel"/>
    <w:tmpl w:val="3CAA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42B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D1017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D8E3D63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1A63A2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5407C1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59D678D"/>
    <w:multiLevelType w:val="multilevel"/>
    <w:tmpl w:val="AA1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44991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A95713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D5F791D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F5009C7"/>
    <w:multiLevelType w:val="multilevel"/>
    <w:tmpl w:val="A2D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3433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2E97847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3826154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56A1B5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29A0198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AC16E6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DA3154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1DD1A55"/>
    <w:multiLevelType w:val="multilevel"/>
    <w:tmpl w:val="BE7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12B21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ABD1A70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DAF1AF2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3F624168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17905E5"/>
    <w:multiLevelType w:val="multilevel"/>
    <w:tmpl w:val="8D7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6653E9"/>
    <w:multiLevelType w:val="multilevel"/>
    <w:tmpl w:val="B942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57D31"/>
    <w:multiLevelType w:val="multilevel"/>
    <w:tmpl w:val="BAF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062A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44AB129C"/>
    <w:multiLevelType w:val="multilevel"/>
    <w:tmpl w:val="2084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B50FEB"/>
    <w:multiLevelType w:val="multilevel"/>
    <w:tmpl w:val="E04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42A96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4AC36C34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4AFA0B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0255181"/>
    <w:multiLevelType w:val="multilevel"/>
    <w:tmpl w:val="F414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DE22E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51991D29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2F1322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7D2549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8BB4094"/>
    <w:multiLevelType w:val="multilevel"/>
    <w:tmpl w:val="4DC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C7F5E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5C211B6B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5F3659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" w15:restartNumberingAfterBreak="0">
    <w:nsid w:val="5F7A277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65414282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66F81830"/>
    <w:multiLevelType w:val="multilevel"/>
    <w:tmpl w:val="A8B4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ITC Zapf Chancery" w:hAnsi="ITC Zapf Chancery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67AC0356"/>
    <w:multiLevelType w:val="multilevel"/>
    <w:tmpl w:val="6E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B84E7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C7F04AD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DD55A1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6E1F676F"/>
    <w:multiLevelType w:val="multilevel"/>
    <w:tmpl w:val="D4A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8D33B8"/>
    <w:multiLevelType w:val="multilevel"/>
    <w:tmpl w:val="94E2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4A759A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71761AC3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7633571C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79061FC5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79365B4B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79E4678F"/>
    <w:multiLevelType w:val="multilevel"/>
    <w:tmpl w:val="EBF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ITC Zapf Chancery" w:hAnsi="ITC Zapf Chancery" w:hint="default"/>
        <w:sz w:val="24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ITC Zapf Chancery" w:hAnsi="ITC Zapf Chancery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4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color w:val="auto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79EA6B7B"/>
    <w:multiLevelType w:val="multilevel"/>
    <w:tmpl w:val="4D1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32D7D"/>
    <w:multiLevelType w:val="multilevel"/>
    <w:tmpl w:val="B046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D52ACB"/>
    <w:multiLevelType w:val="multilevel"/>
    <w:tmpl w:val="C83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04173F"/>
    <w:multiLevelType w:val="multilevel"/>
    <w:tmpl w:val="223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985806">
    <w:abstractNumId w:val="10"/>
  </w:num>
  <w:num w:numId="2" w16cid:durableId="1911184419">
    <w:abstractNumId w:val="38"/>
  </w:num>
  <w:num w:numId="3" w16cid:durableId="8990925">
    <w:abstractNumId w:val="46"/>
  </w:num>
  <w:num w:numId="4" w16cid:durableId="1120881673">
    <w:abstractNumId w:val="20"/>
  </w:num>
  <w:num w:numId="5" w16cid:durableId="909969769">
    <w:abstractNumId w:val="30"/>
  </w:num>
  <w:num w:numId="6" w16cid:durableId="1755083172">
    <w:abstractNumId w:val="48"/>
  </w:num>
  <w:num w:numId="7" w16cid:durableId="969090590">
    <w:abstractNumId w:val="5"/>
  </w:num>
  <w:num w:numId="8" w16cid:durableId="808934223">
    <w:abstractNumId w:val="21"/>
  </w:num>
  <w:num w:numId="9" w16cid:durableId="335616083">
    <w:abstractNumId w:val="47"/>
  </w:num>
  <w:num w:numId="10" w16cid:durableId="61685168">
    <w:abstractNumId w:val="45"/>
  </w:num>
  <w:num w:numId="11" w16cid:durableId="1849758240">
    <w:abstractNumId w:val="29"/>
  </w:num>
  <w:num w:numId="12" w16cid:durableId="1133014280">
    <w:abstractNumId w:val="6"/>
  </w:num>
  <w:num w:numId="13" w16cid:durableId="632633149">
    <w:abstractNumId w:val="42"/>
  </w:num>
  <w:num w:numId="14" w16cid:durableId="1418792645">
    <w:abstractNumId w:val="31"/>
  </w:num>
  <w:num w:numId="15" w16cid:durableId="1646474200">
    <w:abstractNumId w:val="18"/>
  </w:num>
  <w:num w:numId="16" w16cid:durableId="506138212">
    <w:abstractNumId w:val="23"/>
  </w:num>
  <w:num w:numId="17" w16cid:durableId="319818188">
    <w:abstractNumId w:val="49"/>
  </w:num>
  <w:num w:numId="18" w16cid:durableId="2000578179">
    <w:abstractNumId w:val="1"/>
  </w:num>
  <w:num w:numId="19" w16cid:durableId="1422679281">
    <w:abstractNumId w:val="60"/>
  </w:num>
  <w:num w:numId="20" w16cid:durableId="1978418005">
    <w:abstractNumId w:val="25"/>
  </w:num>
  <w:num w:numId="21" w16cid:durableId="389305958">
    <w:abstractNumId w:val="33"/>
  </w:num>
  <w:num w:numId="22" w16cid:durableId="754085351">
    <w:abstractNumId w:val="26"/>
  </w:num>
  <w:num w:numId="23" w16cid:durableId="247929784">
    <w:abstractNumId w:val="57"/>
  </w:num>
  <w:num w:numId="24" w16cid:durableId="2146578000">
    <w:abstractNumId w:val="54"/>
  </w:num>
  <w:num w:numId="25" w16cid:durableId="2069575283">
    <w:abstractNumId w:val="11"/>
  </w:num>
  <w:num w:numId="26" w16cid:durableId="883758545">
    <w:abstractNumId w:val="7"/>
  </w:num>
  <w:num w:numId="27" w16cid:durableId="1935170001">
    <w:abstractNumId w:val="43"/>
  </w:num>
  <w:num w:numId="28" w16cid:durableId="862279990">
    <w:abstractNumId w:val="59"/>
  </w:num>
  <w:num w:numId="29" w16cid:durableId="1760442088">
    <w:abstractNumId w:val="28"/>
  </w:num>
  <w:num w:numId="30" w16cid:durableId="388964545">
    <w:abstractNumId w:val="32"/>
  </w:num>
  <w:num w:numId="31" w16cid:durableId="1876842295">
    <w:abstractNumId w:val="58"/>
  </w:num>
  <w:num w:numId="32" w16cid:durableId="1537350354">
    <w:abstractNumId w:val="19"/>
  </w:num>
  <w:num w:numId="33" w16cid:durableId="1979452465">
    <w:abstractNumId w:val="37"/>
  </w:num>
  <w:num w:numId="34" w16cid:durableId="1392343599">
    <w:abstractNumId w:val="14"/>
  </w:num>
  <w:num w:numId="35" w16cid:durableId="1500852966">
    <w:abstractNumId w:val="52"/>
  </w:num>
  <w:num w:numId="36" w16cid:durableId="1815876099">
    <w:abstractNumId w:val="16"/>
  </w:num>
  <w:num w:numId="37" w16cid:durableId="658651573">
    <w:abstractNumId w:val="9"/>
  </w:num>
  <w:num w:numId="38" w16cid:durableId="1424375480">
    <w:abstractNumId w:val="35"/>
  </w:num>
  <w:num w:numId="39" w16cid:durableId="955481989">
    <w:abstractNumId w:val="36"/>
  </w:num>
  <w:num w:numId="40" w16cid:durableId="1453548883">
    <w:abstractNumId w:val="44"/>
  </w:num>
  <w:num w:numId="41" w16cid:durableId="381952745">
    <w:abstractNumId w:val="55"/>
  </w:num>
  <w:num w:numId="42" w16cid:durableId="1057165604">
    <w:abstractNumId w:val="22"/>
  </w:num>
  <w:num w:numId="43" w16cid:durableId="1942715990">
    <w:abstractNumId w:val="27"/>
  </w:num>
  <w:num w:numId="44" w16cid:durableId="1056468548">
    <w:abstractNumId w:val="51"/>
  </w:num>
  <w:num w:numId="45" w16cid:durableId="139928671">
    <w:abstractNumId w:val="0"/>
  </w:num>
  <w:num w:numId="46" w16cid:durableId="862282226">
    <w:abstractNumId w:val="24"/>
  </w:num>
  <w:num w:numId="47" w16cid:durableId="765033129">
    <w:abstractNumId w:val="53"/>
  </w:num>
  <w:num w:numId="48" w16cid:durableId="912423532">
    <w:abstractNumId w:val="41"/>
  </w:num>
  <w:num w:numId="49" w16cid:durableId="1745254963">
    <w:abstractNumId w:val="40"/>
  </w:num>
  <w:num w:numId="50" w16cid:durableId="1985743898">
    <w:abstractNumId w:val="34"/>
  </w:num>
  <w:num w:numId="51" w16cid:durableId="2064867968">
    <w:abstractNumId w:val="3"/>
  </w:num>
  <w:num w:numId="52" w16cid:durableId="191505397">
    <w:abstractNumId w:val="8"/>
  </w:num>
  <w:num w:numId="53" w16cid:durableId="962543306">
    <w:abstractNumId w:val="4"/>
  </w:num>
  <w:num w:numId="54" w16cid:durableId="1215848484">
    <w:abstractNumId w:val="2"/>
  </w:num>
  <w:num w:numId="55" w16cid:durableId="241991568">
    <w:abstractNumId w:val="56"/>
  </w:num>
  <w:num w:numId="56" w16cid:durableId="1258831401">
    <w:abstractNumId w:val="12"/>
  </w:num>
  <w:num w:numId="57" w16cid:durableId="2113738305">
    <w:abstractNumId w:val="39"/>
  </w:num>
  <w:num w:numId="58" w16cid:durableId="2043820486">
    <w:abstractNumId w:val="13"/>
  </w:num>
  <w:num w:numId="59" w16cid:durableId="34814189">
    <w:abstractNumId w:val="17"/>
  </w:num>
  <w:num w:numId="60" w16cid:durableId="1071733199">
    <w:abstractNumId w:val="15"/>
  </w:num>
  <w:num w:numId="61" w16cid:durableId="1026256241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5E"/>
    <w:rsid w:val="00040FB2"/>
    <w:rsid w:val="0004644F"/>
    <w:rsid w:val="00054E92"/>
    <w:rsid w:val="0006502D"/>
    <w:rsid w:val="00082BB5"/>
    <w:rsid w:val="000A0368"/>
    <w:rsid w:val="000A68B5"/>
    <w:rsid w:val="000C49D8"/>
    <w:rsid w:val="000D17FC"/>
    <w:rsid w:val="000D1B43"/>
    <w:rsid w:val="000D4EF7"/>
    <w:rsid w:val="00105E83"/>
    <w:rsid w:val="00113DBF"/>
    <w:rsid w:val="00117676"/>
    <w:rsid w:val="00140D4D"/>
    <w:rsid w:val="00143974"/>
    <w:rsid w:val="00154C7F"/>
    <w:rsid w:val="00177A4F"/>
    <w:rsid w:val="0019396A"/>
    <w:rsid w:val="001A73E3"/>
    <w:rsid w:val="001C1FB7"/>
    <w:rsid w:val="001C346F"/>
    <w:rsid w:val="001D4DF6"/>
    <w:rsid w:val="001E0066"/>
    <w:rsid w:val="00205C42"/>
    <w:rsid w:val="00222212"/>
    <w:rsid w:val="00231770"/>
    <w:rsid w:val="0024306A"/>
    <w:rsid w:val="00254E0F"/>
    <w:rsid w:val="00293BF4"/>
    <w:rsid w:val="002A4844"/>
    <w:rsid w:val="002B02BA"/>
    <w:rsid w:val="002D5C80"/>
    <w:rsid w:val="003155EA"/>
    <w:rsid w:val="00316F59"/>
    <w:rsid w:val="00372018"/>
    <w:rsid w:val="00376BCB"/>
    <w:rsid w:val="0038309E"/>
    <w:rsid w:val="003903AE"/>
    <w:rsid w:val="00393086"/>
    <w:rsid w:val="003A5908"/>
    <w:rsid w:val="003D2650"/>
    <w:rsid w:val="003D39D7"/>
    <w:rsid w:val="00400844"/>
    <w:rsid w:val="004405B4"/>
    <w:rsid w:val="00443F72"/>
    <w:rsid w:val="00475069"/>
    <w:rsid w:val="00486F5E"/>
    <w:rsid w:val="00496B54"/>
    <w:rsid w:val="004A1AFF"/>
    <w:rsid w:val="004C3A01"/>
    <w:rsid w:val="004D2F5A"/>
    <w:rsid w:val="004D353C"/>
    <w:rsid w:val="004D6B2B"/>
    <w:rsid w:val="004E569F"/>
    <w:rsid w:val="004E5CC8"/>
    <w:rsid w:val="004F0968"/>
    <w:rsid w:val="0053481A"/>
    <w:rsid w:val="00537E82"/>
    <w:rsid w:val="00554074"/>
    <w:rsid w:val="0056621D"/>
    <w:rsid w:val="00570550"/>
    <w:rsid w:val="005709E4"/>
    <w:rsid w:val="00580862"/>
    <w:rsid w:val="00586B05"/>
    <w:rsid w:val="005E0A3F"/>
    <w:rsid w:val="005E6535"/>
    <w:rsid w:val="005F63EA"/>
    <w:rsid w:val="00627A39"/>
    <w:rsid w:val="00671BCC"/>
    <w:rsid w:val="00672F51"/>
    <w:rsid w:val="00673B36"/>
    <w:rsid w:val="0068252F"/>
    <w:rsid w:val="00686A1D"/>
    <w:rsid w:val="006A3E7A"/>
    <w:rsid w:val="006A45D4"/>
    <w:rsid w:val="006F6E2B"/>
    <w:rsid w:val="00701BED"/>
    <w:rsid w:val="00715536"/>
    <w:rsid w:val="00737F9A"/>
    <w:rsid w:val="00763756"/>
    <w:rsid w:val="00775048"/>
    <w:rsid w:val="00780BE0"/>
    <w:rsid w:val="00781D9A"/>
    <w:rsid w:val="00781EA9"/>
    <w:rsid w:val="0078477B"/>
    <w:rsid w:val="007A1896"/>
    <w:rsid w:val="007A741A"/>
    <w:rsid w:val="007B62FA"/>
    <w:rsid w:val="007C3325"/>
    <w:rsid w:val="00801109"/>
    <w:rsid w:val="00803D87"/>
    <w:rsid w:val="0082653A"/>
    <w:rsid w:val="00830CD5"/>
    <w:rsid w:val="00836001"/>
    <w:rsid w:val="00844F5C"/>
    <w:rsid w:val="00851C2F"/>
    <w:rsid w:val="00863AFD"/>
    <w:rsid w:val="008A01AF"/>
    <w:rsid w:val="008A386D"/>
    <w:rsid w:val="008A5BE5"/>
    <w:rsid w:val="008C0B78"/>
    <w:rsid w:val="008D60C2"/>
    <w:rsid w:val="008E246C"/>
    <w:rsid w:val="009156FD"/>
    <w:rsid w:val="00932D2A"/>
    <w:rsid w:val="009C40FC"/>
    <w:rsid w:val="009C7878"/>
    <w:rsid w:val="009E0F46"/>
    <w:rsid w:val="009E4A7E"/>
    <w:rsid w:val="009F4E1F"/>
    <w:rsid w:val="00A41589"/>
    <w:rsid w:val="00A548A4"/>
    <w:rsid w:val="00A92B1C"/>
    <w:rsid w:val="00A93524"/>
    <w:rsid w:val="00AA5374"/>
    <w:rsid w:val="00AC3376"/>
    <w:rsid w:val="00AC4FF8"/>
    <w:rsid w:val="00AC5831"/>
    <w:rsid w:val="00AE0E85"/>
    <w:rsid w:val="00AF78CB"/>
    <w:rsid w:val="00B14064"/>
    <w:rsid w:val="00B2764D"/>
    <w:rsid w:val="00B95291"/>
    <w:rsid w:val="00BA78EB"/>
    <w:rsid w:val="00BB6909"/>
    <w:rsid w:val="00BC01E4"/>
    <w:rsid w:val="00BD714B"/>
    <w:rsid w:val="00BF3125"/>
    <w:rsid w:val="00BF5667"/>
    <w:rsid w:val="00C17246"/>
    <w:rsid w:val="00C200AD"/>
    <w:rsid w:val="00C21030"/>
    <w:rsid w:val="00C24F88"/>
    <w:rsid w:val="00C61EA9"/>
    <w:rsid w:val="00C63622"/>
    <w:rsid w:val="00C9054C"/>
    <w:rsid w:val="00C943D2"/>
    <w:rsid w:val="00CE7D11"/>
    <w:rsid w:val="00CF2C9D"/>
    <w:rsid w:val="00CF79BA"/>
    <w:rsid w:val="00D00761"/>
    <w:rsid w:val="00D13D84"/>
    <w:rsid w:val="00D55D16"/>
    <w:rsid w:val="00D67BB8"/>
    <w:rsid w:val="00D72377"/>
    <w:rsid w:val="00D81AA3"/>
    <w:rsid w:val="00DA2190"/>
    <w:rsid w:val="00DD1A0D"/>
    <w:rsid w:val="00DD25DB"/>
    <w:rsid w:val="00DF26DD"/>
    <w:rsid w:val="00E11910"/>
    <w:rsid w:val="00E22A01"/>
    <w:rsid w:val="00E24BED"/>
    <w:rsid w:val="00E3290F"/>
    <w:rsid w:val="00E7393E"/>
    <w:rsid w:val="00E85F38"/>
    <w:rsid w:val="00E97450"/>
    <w:rsid w:val="00EC58CD"/>
    <w:rsid w:val="00ED134C"/>
    <w:rsid w:val="00ED78F3"/>
    <w:rsid w:val="00EF3D01"/>
    <w:rsid w:val="00F03A96"/>
    <w:rsid w:val="00F43492"/>
    <w:rsid w:val="00F43B59"/>
    <w:rsid w:val="00F53824"/>
    <w:rsid w:val="00F72569"/>
    <w:rsid w:val="00F827BA"/>
    <w:rsid w:val="00F86BE4"/>
    <w:rsid w:val="00FA2967"/>
    <w:rsid w:val="00FB2056"/>
    <w:rsid w:val="00FD6BB3"/>
    <w:rsid w:val="00FE402A"/>
    <w:rsid w:val="00F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BF8"/>
  <w15:chartTrackingRefBased/>
  <w15:docId w15:val="{84240FB7-46D7-41A5-8B18-923347A8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D0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2650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5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86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3D39D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5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0D4EF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4D2F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7BB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67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Incident Response Notification Decision Matrix</dc:title>
  <dc:subject/>
  <dc:creator>Ebiye Elton</dc:creator>
  <cp:keywords/>
  <dc:description/>
  <cp:lastModifiedBy>Ebiye Elton</cp:lastModifiedBy>
  <cp:revision>11</cp:revision>
  <dcterms:created xsi:type="dcterms:W3CDTF">2026-10-27T12:41:00Z</dcterms:created>
  <dcterms:modified xsi:type="dcterms:W3CDTF">2026-10-27T12:50:00Z</dcterms:modified>
</cp:coreProperties>
</file>